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8a UWG 2004 — Anspruchsberechtigte bei einem Verstoß gegen die Verordnung (EU) 2019/1150</w:t>
      </w:r>
    </w:p>
    <w:p>
      <w:r>
        <w:rPr>
          <w:color w:val="555555"/>
          <w:sz w:val="18"/>
        </w:rPr>
        <w:t xml:space="preserve">Gesetz gegen den unlauteren Wettbewerb</w:t>
      </w:r>
    </w:p>
    <w:p>
      <w:r>
        <w:rPr>
          <w:color w:val="555555"/>
          <w:sz w:val="18"/>
        </w:rPr>
        <w:t xml:space="preserve">Stand: 27.11.2020 (konsolidierte Textfassung, kein amtliches Inkrafttretensdatum)</w:t>
      </w:r>
    </w:p>
    <w:p>
      <w:r>
        <w:t xml:space="preserve">Anspruchsberechtigt nach § 8 Absatz 1 sind bei einem Verstoß gegen die Verordnung (EU) 2019/1150 des Europäischen Parlaments und des Rates vom 20. Juni 2019 zur Förderung von Fairness und Transparenz für gewerbliche Nutzer von Online-Vermittlungsdiensten (ABl. L 186 vom 11.7.2019, S. 57) abweichend von § 8 Absatz 3 die Verbände, Organisationen und öffentlichen Stellen, die die Voraussetzungen des Artikels 14 Absatz 3 und 4 der Verordnung (EU) 2019/1150 erfüllen.</w:t>
      </w:r>
    </w:p>
    <w:p>
      <w:r>
        <w:rPr>
          <w:color w:val="555555"/>
          <w:sz w:val="17"/>
        </w:rPr>
        <w:t xml:space="preserve">Zitiervorschlag: § 8a UWG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https://recht.nulegal.eu/gesetze/UWG%202004/8a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