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5c UWG 2004 — Verbotene Verletzung von Verbraucherinteressen durch unlautere geschäftliche Handlungen</w:t>
      </w:r>
    </w:p>
    <w:p>
      <w:r>
        <w:rPr>
          <w:color w:val="555555"/>
          <w:sz w:val="18"/>
        </w:rPr>
        <w:t xml:space="preserve">Gesetz gegen den unlauteren Wettbewerb</w:t>
      </w:r>
    </w:p>
    <w:p>
      <w:r>
        <w:rPr>
          <w:color w:val="555555"/>
          <w:sz w:val="18"/>
        </w:rPr>
        <w:t xml:space="preserve">Stand: 28.05.2022 (konsolidierte Textfassung, kein amtliches Inkrafttretensdatum)</w:t>
      </w:r>
    </w:p>
    <w:p>
      <w:r>
        <w:t xml:space="preserve">(1) Die Verletzung von Verbraucherinteressen durch unlautere geschäftliche Handlungen ist verboten, wenn es sich um einen weitverbreiteten Verstoß gemäß Artikel 3 Nummer 3 der Verordnung (EU) 2017/2394 des Europäischen Parlaments und des Rates vom 12. Dezember 2017 über die Zusammenarbeit zwischen den für die Durchsetzung der Verbraucherschutzgesetze zuständigen nationalen Behörden und zur Aufhebung der Verordnung (EG) Nr. 2006/2004 (ABl. L 345 vom 27.12.2017, S. 1), die zuletzt durch die Richtlinie (EU) 2019/771 (ABl. L 136 vom 22.5.2019, S. 28; L 305 vom 26.11.2019, S. 66) geändert worden ist, oder einen weitverbreiteten Verstoß mit UnionsDimension gemäß Artikel 3 Nummer 4 der Verordnung (EU) 2017/2394 handelt.</w:t>
      </w:r>
    </w:p>
    <w:p>
      <w:r>
        <w:t xml:space="preserve">(2) Eine Verletzung von Verbraucherinteressen durch unlautere geschäftliche Handlungen im Sinne des Absatzes 1 liegt vor, wenn</w:t>
      </w:r>
    </w:p>
    <w:p>
      <w:pPr>
        <w:ind w:left="420"/>
      </w:pPr>
      <w:r>
        <w:t xml:space="preserve">1. eine unlautere geschäftliche Handlung nach § 3 Absatz 3 in Verbindung mit den Nummern 1 bis 31 des Anhangs vorgenommen wird,</w:t>
      </w:r>
    </w:p>
    <w:p>
      <w:pPr>
        <w:ind w:left="420"/>
      </w:pPr>
      <w:r>
        <w:t xml:space="preserve">2. eine aggressive geschäftliche Handlung nach § 4a Absatz 1 Satz 1 vorgenommen wird,</w:t>
      </w:r>
    </w:p>
    <w:p>
      <w:pPr>
        <w:ind w:left="420"/>
      </w:pPr>
      <w:r>
        <w:t xml:space="preserve">3. eine irreführende geschäftliche Handlung nach § 5 Absatz 1 oder § 5a Absatz 1 vorgenommen wird oder</w:t>
      </w:r>
    </w:p>
    <w:p>
      <w:pPr>
        <w:ind w:left="420"/>
      </w:pPr>
      <w:r>
        <w:t xml:space="preserve">4. eine unlautere geschäftliche Handlung nach § 3 Absatz 1 fortgesetzt vorgenommen wird, die durch eine vollziehbare Anordnung der zuständigen Behörde im Sinne des Artikels 3 Nummer 6 der Verordnung (EU) 2017/2394 oder durch eine vollstreckbare Entscheidung eines Gerichts untersagt worden ist, sofern die Handlung nicht bereits von den Nummern 1 bis 3 erfasst ist.</w:t>
      </w:r>
    </w:p>
    <w:p>
      <w:r>
        <w:t xml:space="preserve">(3) Eine Verletzung von Verbraucherinteressen durch unlautere geschäftliche Handlungen im Sinne des Absatzes 1 liegt auch vor, wenn</w:t>
      </w:r>
    </w:p>
    <w:p>
      <w:pPr>
        <w:ind w:left="420"/>
      </w:pPr>
      <w:r>
        <w:t xml:space="preserve">1. eine geschäftliche Handlung die tatsächlichen Voraussetzungen eines der in Absatz 2 geregelten Fälle erfüllt und</w:t>
      </w:r>
    </w:p>
    <w:p>
      <w:pPr>
        <w:ind w:left="420"/>
      </w:pPr>
      <w:r>
        <w:t xml:space="preserve">2. auf die geschäftliche Handlung das nationale Recht eines anderen Mitgliedstaates der Europäischen Union anwendbar ist, welches eine Vorschrift enthält, die der jeweiligen in Absatz 2 genannten Vorschrift entspricht.</w:t>
      </w:r>
    </w:p>
    <w:p>
      <w:r>
        <w:rPr>
          <w:color w:val="555555"/>
          <w:sz w:val="17"/>
        </w:rPr>
        <w:t xml:space="preserve">Zitiervorschlag: § 5c UWG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https://recht.nulegal.eu/gesetze/UWG%202004/5c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