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UWG 2004 — Bußgeldvorschriften</w:t>
      </w:r>
    </w:p>
    <w:p>
      <w:r>
        <w:rPr>
          <w:color w:val="555555"/>
          <w:sz w:val="18"/>
        </w:rPr>
        <w:t xml:space="preserve">Gesetz gegen den unlauteren Wettbewerb</w:t>
      </w:r>
    </w:p>
    <w:p>
      <w:r>
        <w:rPr>
          <w:color w:val="555555"/>
          <w:sz w:val="18"/>
        </w:rPr>
        <w:t xml:space="preserve">Stand: 14.10.2023 (konsolidierte Textfassung, kein amtliches Inkrafttretensdatum)</w:t>
      </w:r>
    </w:p>
    <w:p>
      <w:r>
        <w:t xml:space="preserve">(1) Ordnungswidrig handelt, wer vorsätzlich oder fahrlässig</w:t>
      </w:r>
    </w:p>
    <w:p>
      <w:pPr>
        <w:ind w:left="420"/>
      </w:pPr>
      <w:r>
        <w:t xml:space="preserve">1. entgegen § 7 Absatz 1 Satz 1 in Verbindung mit Absatz 2 Nummer 1 oder 2 mit einem Telefonanruf oder unter Verwendung einer automatischen Anrufmaschine gegenüber einem Verbraucher ohne dessen vorherige ausdrückliche Einwilligung wirbt,</w:t>
      </w:r>
    </w:p>
    <w:p>
      <w:pPr>
        <w:ind w:left="420"/>
      </w:pPr>
      <w:r>
        <w:t xml:space="preserve">2. entgegen § 7a Absatz 1 eine dort genannte Einwilligung nicht, nicht richtig, nicht vollständig oder nicht rechtzeitig dokumentiert oder nicht oder nicht mindestens fünf Jahre aufbewahrt,</w:t>
      </w:r>
    </w:p>
    <w:p>
      <w:pPr>
        <w:ind w:left="420"/>
      </w:pPr>
      <w:r>
        <w:t xml:space="preserve">3. entgegen § 8 Absatz 5 Satz 2 in Verbindung mit § 6a Absatz 1 Satz 3 des Unterlassungsklagengesetzes eine dort genannte Zustellung nicht oder nicht rechtzeitig bekannt macht,</w:t>
      </w:r>
    </w:p>
    <w:p>
      <w:pPr>
        <w:ind w:left="420"/>
      </w:pPr>
      <w:r>
        <w:t xml:space="preserve">4. einer Rechtsverordnung nach § 8b Absatz 3 Satz 1 in Verbindung mit § 4f Nummer 1 oder 2 des Unterlassungsklagengesetzes oder einer vollziehbaren Anordnung auf Grund einer solchen Rechtsverordnung zuwiderhandelt, soweit die Rechtsverordnung für einen bestimmten Tatbestand auf diese Bußgeldvorschrift verweist oder</w:t>
      </w:r>
    </w:p>
    <w:p>
      <w:pPr>
        <w:ind w:left="420"/>
      </w:pPr>
      <w:r>
        <w:t xml:space="preserve">5. entgegen § 8b Absatz 3 in Verbindung mit § 4b Absatz 1 Satz 1 des Unterlassungsklagengesetzes, auch in Verbindung mit einer Rechtsverordnung nach § 4f Nummer 3 des Unterlassungsklagengesetzes, einen dort genannten Bericht nicht, nicht richtig, nicht vollständig oder nicht rechtzeitig erstattet.</w:t>
      </w:r>
    </w:p>
    <w:p>
      <w:r>
        <w:t xml:space="preserve">(2) Die Ordnungswidrigkeit kann in den Fällen des Absatzes 1 Nummer 1 mit einer Geldbuße bis zu dreihunderttausend Euro, in den Fällen des Absatzes 1 Nummer 2 mit einer Geldbuße bis zu fünfzigtausend Euro und in den übrigen Fällen mit einer Geldbuße bis zu hunderttausend Euro geahndet werden.</w:t>
      </w:r>
    </w:p>
    <w:p>
      <w:r>
        <w:t xml:space="preserve">(3) Verwaltungsbehörde im Sinne des § 36 Absatz 1 Nummer 1 des Gesetzes über Ordnungswidrigkeiten ist in den Fällen des Absatzes 1 Nummer 1 und 2 die Bundesnetzagentur für Elektrizität, Gas, Telekommunikation, Post und Eisenbahnen, in den übrigen Fällen das Bundesamt für Justiz.</w:t>
      </w:r>
    </w:p>
    <w:p>
      <w:r>
        <w:rPr>
          <w:color w:val="555555"/>
          <w:sz w:val="17"/>
        </w:rPr>
        <w:t xml:space="preserve">Zitiervorschlag: § 20 UWG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https://recht.nulegal.eu/gesetze/UWG%202004/20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