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UWG 2004 — Überleitungsvorschrift zum Gesetz zur Stärkung des fairen Wettbewerbs</w:t>
      </w:r>
    </w:p>
    <w:p>
      <w:r>
        <w:rPr>
          <w:color w:val="555555"/>
          <w:sz w:val="18"/>
        </w:rPr>
        <w:t xml:space="preserve">Gesetz gegen den unlauteren Wettbewerb</w:t>
      </w:r>
    </w:p>
    <w:p>
      <w:r>
        <w:rPr>
          <w:color w:val="555555"/>
          <w:sz w:val="18"/>
        </w:rPr>
        <w:t xml:space="preserve">Stand: 02.12.2020 (konsolidierte Textfassung, kein amtliches Inkrafttretensdatum)</w:t>
      </w:r>
    </w:p>
    <w:p>
      <w:r>
        <w:t xml:space="preserve">(1) § 8 Absatz 3 Nummer 2 ist nicht anzuwenden auf Verfahren, die am 1. September 2021 bereits rechtshängig sind.</w:t>
      </w:r>
    </w:p>
    <w:p>
      <w:r>
        <w:t xml:space="preserve">(2) Die §§ 13 und 13a Absatz 2 und 3 sind nicht anzuwenden auf Abmahnungen, die vor dem 2. Dezember 2020 bereits zugegangen sind.</w:t>
      </w:r>
    </w:p>
    <w:p>
      <w:r>
        <w:rPr>
          <w:color w:val="555555"/>
          <w:sz w:val="17"/>
        </w:rPr>
        <w:t xml:space="preserve">Zitiervorschlag: § 15a UWG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https://recht.nulegal.eu/gesetze/UWG%202004/15a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UWG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