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UWG 2004 — Abmahnung; Unterlassungsverpflichtung; Haftung</w:t>
      </w:r>
    </w:p>
    <w:p>
      <w:r>
        <w:rPr>
          <w:color w:val="555555"/>
          <w:sz w:val="18"/>
        </w:rPr>
        <w:t xml:space="preserve">Gesetz gegen den unlauteren Wettbewerb</w:t>
      </w:r>
    </w:p>
    <w:p>
      <w:r>
        <w:rPr>
          <w:color w:val="555555"/>
          <w:sz w:val="18"/>
        </w:rPr>
        <w:t xml:space="preserve">Stand: 14.05.2024 (konsolidierte Textfassung, kein amtliches Inkrafttretensdatum)</w:t>
      </w:r>
    </w:p>
    <w:p>
      <w:r>
        <w:t xml:space="preserve">(1) Die zur Geltendmachung eines Unterlassungsanspruchs Berechtigten sollen den Schuldner vor der Einleitung eines gerichtlichen Verfahrens abmahnen und ihm Gelegenheit geben, den Streit durch Abgabe einer mit einer angemessenen Vertragsstrafe bewehrten Unterlassungsverpflichtung beizulegen.</w:t>
      </w:r>
    </w:p>
    <w:p>
      <w:r>
        <w:t xml:space="preserve">(2) In der Abmahnung muss klar und verständlich angegeben werden:</w:t>
      </w:r>
    </w:p>
    <w:p>
      <w:pPr>
        <w:ind w:left="420"/>
      </w:pPr>
      <w:r>
        <w:t xml:space="preserve">1. Name oder Firma des Abmahnenden sowie im Fall einer Vertretung zusätzlich Name oder Firma des Vertreters,</w:t>
      </w:r>
    </w:p>
    <w:p>
      <w:pPr>
        <w:ind w:left="420"/>
      </w:pPr>
      <w:r>
        <w:t xml:space="preserve">2. die Voraussetzungen der Anspruchsberechtigung nach § 8 Absatz 3,</w:t>
      </w:r>
    </w:p>
    <w:p>
      <w:pPr>
        <w:ind w:left="420"/>
      </w:pPr>
      <w:r>
        <w:t xml:space="preserve">3. ob und in welcher Höhe ein Aufwendungsersatzanspruch geltend gemacht wird und wie sich dieser berechnet,</w:t>
      </w:r>
    </w:p>
    <w:p>
      <w:pPr>
        <w:ind w:left="420"/>
      </w:pPr>
      <w:r>
        <w:t xml:space="preserve">4. die Rechtsverletzung unter Angabe der tatsächlichen Umstände,</w:t>
      </w:r>
    </w:p>
    <w:p>
      <w:pPr>
        <w:ind w:left="420"/>
      </w:pPr>
      <w:r>
        <w:t xml:space="preserve">5. in den Fällen des Absatzes 4, dass der Anspruch auf Aufwendungsersatz ausgeschlossen ist.</w:t>
      </w:r>
    </w:p>
    <w:p>
      <w:r>
        <w:t xml:space="preserve">(3) Soweit die Abmahnung berechtigt ist und den Anforderungen des Absatzes 2 entspricht, kann der Abmahnende vom Abgemahnten Ersatz der erforderlichen Aufwendungen verlangen.</w:t>
      </w:r>
    </w:p>
    <w:p>
      <w:r>
        <w:t xml:space="preserve">(4) Der Anspruch auf Ersatz der erforderlichen Aufwendungen nach Absatz 3 ist für Anspruchsberechtigte nach § 8 Absatz 3 Nummer 1 ausgeschlossen bei</w:t>
      </w:r>
    </w:p>
    <w:p>
      <w:pPr>
        <w:ind w:left="420"/>
      </w:pPr>
      <w:r>
        <w:t xml:space="preserve">1. im elektronischen Geschäftsverkehr oder in digitalen Diensten nach § 1 Absatz 4 Nummer 1 des Digitale-Dienste-Gesetzes begangenen Verstößen gegen gesetzliche Informations- und Kennzeichnungspflichten oder</w:t>
      </w:r>
    </w:p>
    <w:p>
      <w:pPr>
        <w:ind w:left="420"/>
      </w:pPr>
      <w:r>
        <w:t xml:space="preserve">2. sonstigen Verstößen gegen die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und das Bundesdatenschutzgesetz durch Unternehmen sowie gewerblich tätige Vereine, sofern sie in der Regel weniger als 250 Mitarbeiter beschäftigen.</w:t>
      </w:r>
    </w:p>
    <w:p>
      <w:r>
        <w:t xml:space="preserve">(5) Soweit die Abmahnung unberechtigt ist oder nicht den Anforderungen des Absatzes 2 entspricht oder soweit entgegen Absatz 4 ein Anspruch auf Aufwendungsersatz geltend gemacht wird, hat der Abgemahnte gegen den Abmahnenden einen Anspruch auf Ersatz der für seine Rechtsverteidigung erforderlichen Aufwendungen. Der Anspruch nach Satz 1 ist beschränkt auf die Höhe des Aufwendungsersatzanspruchs, die der Abmahnende geltend macht. Bei einer unberechtigten Abmahnung ist der Anspruch nach Satz 1 ausgeschlossen, wenn die fehlende Berechtigung der Abmahnung für den Abmahnenden zum Zeitpunkt der Abmahnung nicht erkennbar war. Weitergehende Ersatzansprüche bleiben unberührt.</w:t>
      </w:r>
    </w:p>
    <w:p>
      <w:r>
        <w:rPr>
          <w:color w:val="555555"/>
          <w:sz w:val="17"/>
        </w:rPr>
        <w:t xml:space="preserve">Zitiervorschlag: § 13 UWG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https://recht.nulegal.eu/gesetze/UWG%202004/13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