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UWG 2004 — Einstweiliger Rechtsschutz; Veröffentlichungsbefugnis; Streitwertminderung</w:t>
      </w:r>
    </w:p>
    <w:p>
      <w:r>
        <w:rPr>
          <w:color w:val="555555"/>
          <w:sz w:val="18"/>
        </w:rPr>
        <w:t xml:space="preserve">Gesetz gegen den unlauteren Wettbewerb</w:t>
      </w:r>
    </w:p>
    <w:p>
      <w:r>
        <w:rPr>
          <w:color w:val="555555"/>
          <w:sz w:val="18"/>
        </w:rPr>
        <w:t xml:space="preserve">Stand: 02.12.2020 (konsolidierte Textfassung, kein amtliches Inkrafttretensdatum)</w:t>
      </w:r>
    </w:p>
    <w:p>
      <w:r>
        <w:t xml:space="preserve">(1) Zur Sicherung der in diesem Gesetz bezeichneten Ansprüche auf Unterlassung können einstweilige Verfügungen auch ohne die Darlegung und Glaubhaftmachung der in den §§ 935 und 940 der Zivilprozessordnung bezeichneten Voraussetzungen erlassen werden.</w:t>
      </w:r>
    </w:p>
    <w:p>
      <w:r>
        <w:t xml:space="preserve">(2) Ist auf Grund dieses Gesetzes Klage auf Unterlassung erhoben worden, so kann das Gericht der obsiegenden Partei die Befugnis zusprechen, das Urteil auf Kosten der unterliegenden Partei öffentlich bekannt zu machen, wenn sie ein berechtigtes Interesse dartut. Art und Umfang der Bekanntmachung werden im Urteil bestimmt. Die Befugnis erlischt, wenn von ihr nicht innerhalb von drei Monaten nach Eintritt der Rechtskraft Gebrauch gemacht worden ist. Der Ausspruch nach Satz 1 ist nicht vorläufig vollstreckbar.</w:t>
      </w:r>
    </w:p>
    <w:p>
      <w:r>
        <w:t xml:space="preserve">(3) Macht eine Partei in Rechtsstreitigkeiten, in denen durch Klage ein Anspruch aus einem der in diesem Gesetz geregelten Rechtsverhältnisse geltend gemacht wird, glaubhaft, dass die Belastung mit den Prozesskosten nach dem vollen Streitwert ihre wirtschaftliche Lage erheblich gefährden würde, so kann das Gericht auf ihren Antrag anordnen, dass die Verpflichtung dieser Partei zur Zahlung von Gerichtskosten sich nach einem ihrer Wirtschaftslage angepassten Teil des Streitwerts bemisst. Die Anordnung hat zur Folge, dass</w:t>
      </w:r>
    </w:p>
    <w:p>
      <w:pPr>
        <w:ind w:left="420"/>
      </w:pPr>
      <w:r>
        <w:t xml:space="preserve">1. die begünstigte Partei die Gebühren ihres Rechtsanwalts ebenfalls nur nach diesem Teil des Streitwerts zu entrichten hat,</w:t>
      </w:r>
    </w:p>
    <w:p>
      <w:pPr>
        <w:ind w:left="420"/>
      </w:pPr>
      <w:r>
        <w:t xml:space="preserve">2. die begünstigte Partei, soweit ihr Kosten des Rechtsstreits auferlegt werden oder soweit sie diese übernimmt, die von dem Gegner entrichteten Gerichtsgebühren und die Gebühren seines Rechtsanwalts nur nach dem Teil des Streitwerts zu erstatten hat und</w:t>
      </w:r>
    </w:p>
    <w:p>
      <w:pPr>
        <w:ind w:left="420"/>
      </w:pPr>
      <w:r>
        <w:t xml:space="preserve">3. der Rechtsanwalt der begünstigten Partei, soweit die außergerichtlichen Kosten dem Gegner auferlegt oder von ihm übernommen werden, seine Gebühren von dem Gegner nach dem für diesen geltenden Streitwert beitreiben kann.</w:t>
      </w:r>
    </w:p>
    <w:p>
      <w:r>
        <w:t xml:space="preserve">(4) Der Antrag nach Absatz 3 kann vor der Geschäftsstelle des Gerichts zur Niederschrift erklärt werden. Er ist vor der Verhandlung zur Hauptsache anzubringen. Danach ist er nur zulässig, wenn der angenommene oder festgesetzte Streitwert später durch das Gericht heraufgesetzt wird. Vor der Entscheidung über den Antrag ist der Gegner zu hören.</w:t>
      </w:r>
    </w:p>
    <w:p>
      <w:r>
        <w:rPr>
          <w:color w:val="555555"/>
          <w:sz w:val="17"/>
        </w:rPr>
        <w:t xml:space="preserve">Zitiervorschlag: § 12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