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UWG 2004 — Verjährung</w:t>
      </w:r>
    </w:p>
    <w:p>
      <w:r>
        <w:rPr>
          <w:color w:val="555555"/>
          <w:sz w:val="18"/>
        </w:rPr>
        <w:t xml:space="preserve">Gesetz gegen den unlauteren Wettbewerb</w:t>
      </w:r>
    </w:p>
    <w:p>
      <w:r>
        <w:rPr>
          <w:color w:val="555555"/>
          <w:sz w:val="18"/>
        </w:rPr>
        <w:t xml:space="preserve">Stand: 28.05.2022 (konsolidierte Textfassung, kein amtliches Inkrafttretensdatum)</w:t>
      </w:r>
    </w:p>
    <w:p>
      <w:r>
        <w:t xml:space="preserve">(1) Die Ansprüche aus den §§ 8, 9 Absatz 1 und § 13 Absatz 3 verjähren in sechs Monaten und der Anspruch aus § 9 Absatz 2 Satz 1 verjährt in einem Jahr.</w:t>
      </w:r>
    </w:p>
    <w:p>
      <w:r>
        <w:t xml:space="preserve">(2) Die Verjährungsfrist beginnt, wenn</w:t>
      </w:r>
    </w:p>
    <w:p>
      <w:pPr>
        <w:ind w:left="420"/>
      </w:pPr>
      <w:r>
        <w:t xml:space="preserve">1. der Anspruch entstanden ist und</w:t>
      </w:r>
    </w:p>
    <w:p>
      <w:pPr>
        <w:ind w:left="420"/>
      </w:pPr>
      <w:r>
        <w:t xml:space="preserve">2. der Gläubiger von den den Anspruch begründenden Umständen und der Person des Schuldners Kenntnis erlangt oder ohne grobe Fahrlässigkeit erlangen müsste.</w:t>
      </w:r>
    </w:p>
    <w:p>
      <w:r>
        <w:t xml:space="preserve">(3) Schadensersatzansprüche verjähren ohne Rücksicht auf die Kenntnis oder grob fahrlässige Unkenntnis in zehn Jahren von ihrer Entstehung, spätestens in 30 Jahren von der den Schaden auslösenden Handlung an.</w:t>
      </w:r>
    </w:p>
    <w:p>
      <w:r>
        <w:t xml:space="preserve">(4) Andere Ansprüche verjähren ohne Rücksicht auf die Kenntnis oder grob fahrlässige Unkenntnis in drei Jahren von der Entstehung an.</w:t>
      </w:r>
    </w:p>
    <w:p>
      <w:r>
        <w:rPr>
          <w:color w:val="555555"/>
          <w:sz w:val="17"/>
        </w:rPr>
        <w:t xml:space="preserve">Zitiervorschlag: § 11 UWG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https://recht.nulegal.eu/gesetze/UWG%202004/11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