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UWG 2004 — Zweck des Gesetzes; Anwendungsbereich</w:t>
      </w:r>
    </w:p>
    <w:p>
      <w:r>
        <w:rPr>
          <w:color w:val="555555"/>
          <w:sz w:val="18"/>
        </w:rPr>
        <w:t xml:space="preserve">Gesetz gegen den unlauteren Wettbewerb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Dieses Gesetz dient dem Schutz der Mitbewerber, der Verbraucher sowie der sonstigen Marktteilnehmer vor unlauteren geschäftlichen Handlungen. Es schützt zugleich das Interesse der Allgemeinheit an einem unverfälschten Wettbewerb.</w:t>
      </w:r>
    </w:p>
    <w:p>
      <w:r>
        <w:t xml:space="preserve">(2) Vorschriften zur Regelung besonderer Aspekte unlauterer geschäftlicher Handlungen gehen bei der Beurteilung, ob eine unlautere geschäftliche Handlung vorliegt, den Regelungen dieses Gesetzes vor.</w:t>
      </w:r>
    </w:p>
    <w:p>
      <w:r>
        <w:rPr>
          <w:color w:val="555555"/>
          <w:sz w:val="17"/>
        </w:rPr>
        <w:t xml:space="preserve">Zitiervorschlag: § 1 UWG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https://recht.nulegal.eu/gesetze/UWG%202004/1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