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UVollzG NRW (Nordrhein-Westfalen) — Pakete</w:t>
      </w:r>
    </w:p>
    <w:p>
      <w:r>
        <w:rPr>
          <w:color w:val="555555"/>
          <w:sz w:val="18"/>
        </w:rPr>
        <w:t xml:space="preserve">Untersuchungshaftvollzugsgesetz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28 des Strafvollzugsgesetzes Nordrhein-Westfalen gilt entsprechend.</w:t>
      </w:r>
    </w:p>
    <w:p>
      <w:r>
        <w:rPr>
          <w:color w:val="555555"/>
          <w:sz w:val="17"/>
        </w:rPr>
        <w:t xml:space="preserve">Zitiervorschlag: § 20 UVollzG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https://recht.nulegal.eu/gesetze/UVollzG%20NRW/20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UVollzG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