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UVZV (Brandenburg) — Aufgabenerfüllung</w:t>
      </w:r>
    </w:p>
    <w:p>
      <w:r>
        <w:rPr>
          <w:color w:val="555555"/>
          <w:sz w:val="18"/>
        </w:rPr>
        <w:t xml:space="preserve">Unterhaltungsverbändezuständigkeitsverordnung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Erfüllung der Aufgaben erfolgt nach Maßgabe der von der obersten Wasserbehörde erlassenen Ausführungsvorschriften und nach Vorgaben des Wasserwirtschaftsamtes. Zuständig ist der Gewässerunterhaltungsverband, in dessen Verbandsgebiet die Aufgabe erfüllt werden muss.</w:t>
      </w:r>
    </w:p>
    <w:p>
      <w:r>
        <w:t xml:space="preserve">(2) Führt ein Gewässerunterhaltungsverband eine ihm übertragene Aufgabe nicht oder nicht gemäß Absatz 1 Satz 1 durch, kann das Wasserwirtschaftsamt einen anderen Gewässerunterhaltungsverband mit dessen Zustimmung oder einen Dritten mit der Aufgabendurchführung beauftragen; dabei ist vorrangig ein Gewässerunterhaltungsverband innerhalb einer Kooperation, in der der zuständige Gewässerunterhaltungsverband Mitglied ist, zu beauftragen.</w:t>
      </w:r>
    </w:p>
    <w:p>
      <w:r>
        <w:rPr>
          <w:color w:val="555555"/>
          <w:sz w:val="17"/>
        </w:rPr>
        <w:t xml:space="preserve">Zitiervorschlag: § 2 UVZV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https://recht.nulegal.eu/gesetze/UVZV/2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