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UVZV (Brandenburg) — Aufgabenübertragung</w:t>
      </w:r>
    </w:p>
    <w:p>
      <w:r>
        <w:rPr>
          <w:color w:val="555555"/>
          <w:sz w:val="18"/>
        </w:rPr>
        <w:t xml:space="preserve">Unterhaltungsverbändezuständigkeitsverordnung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Durchführung der dem Wasserwirtschaftsamt gemäß § 126 Absatz 3 Satz 3 Nummer 2, 3 und 5 des Brandenburgischen Wassergesetzes obliegenden Aufgaben wird in nachfolgend genanntem Umfang auf die Gewässerunterhaltungsverbände übertragen:</w:t>
      </w:r>
    </w:p>
    <w:p>
      <w:r>
        <w:t xml:space="preserve">Modernisierung, Erweiterung, Umbau und Rückbau von dem Land unterstehenden wasserwirtschaftlichen Anlagen,</w:t>
      </w:r>
    </w:p>
    <w:p>
      <w:r>
        <w:t xml:space="preserve">Ausbau der Gewässer nach § 89 Absatz 2 des Brandenburgischen Wassergesetzes,</w:t>
      </w:r>
    </w:p>
    <w:p>
      <w:r>
        <w:t xml:space="preserve">Unterhaltung und Bedienung von dem Land unterstehenden wasserwirtschaftlichen Anlagen,</w:t>
      </w:r>
    </w:p>
    <w:p>
      <w:r>
        <w:t xml:space="preserve">Bedienung der Hochwasserschutzanlagen einschließlich der dazugehörigen wasserbaulichen Anlagen.</w:t>
      </w:r>
    </w:p>
    <w:p>
      <w:r>
        <w:t xml:space="preserve">Ausgenommen von der Übertragung sind folgende Anlagen: Talsperre Spremberg und Speicher Niemtsch/Koschen sowie Anlagen in und an Gewässern, die als Messeinrichtung der Erfassung von Wassermengen- oder Wassergütedaten dienen.</w:t>
      </w:r>
    </w:p>
    <w:p>
      <w:r>
        <w:rPr>
          <w:color w:val="555555"/>
          <w:sz w:val="17"/>
        </w:rPr>
        <w:t xml:space="preserve">Zitiervorschlag: § 1 UVZV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