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UVSV — (zu § 2 Nummer 6)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1419)</w:t>
      </w:r>
    </w:p>
    <w:p>
      <w:r>
        <w:t xml:space="preserve">Wichtungsfaktoren zur Ermittlung der erythemwirksamen Bestrahlungsstärke von UV-Bestrahlungsgeräten werden durch folgende Wirkungsfunktion mit Parametern festgelegt:</w:t>
      </w:r>
    </w:p>
    <w:p>
      <w:r>
        <w:rPr>
          <w:rFonts w:ascii="Courier New" w:hAnsi="Courier New"/>
          <w:sz w:val="17"/>
        </w:rPr>
        <w:t xml:space="preserve">Wellenlänge λ in nm    Wichtungsfaktor Sλ</w:t>
      </w:r>
    </w:p>
    <w:p>
      <w:r>
        <w:rPr>
          <w:rFonts w:ascii="Courier New" w:hAnsi="Courier New"/>
          <w:sz w:val="17"/>
        </w:rPr>
        <w:t xml:space="preserve">λ &lt; 298    1</w:t>
      </w:r>
    </w:p>
    <w:p>
      <w:r>
        <w:rPr>
          <w:rFonts w:ascii="Courier New" w:hAnsi="Courier New"/>
          <w:sz w:val="17"/>
        </w:rPr>
        <w:t xml:space="preserve">298 ≤ λ ≤ 328    100,094 (298 – λ)</w:t>
      </w:r>
    </w:p>
    <w:p>
      <w:r>
        <w:rPr>
          <w:rFonts w:ascii="Courier New" w:hAnsi="Courier New"/>
          <w:sz w:val="17"/>
        </w:rPr>
        <w:t xml:space="preserve">328 &lt; λ ≤ 400    100,015 (140 – λ)</w:t>
      </w:r>
    </w:p>
    <w:p>
      <w:r>
        <w:rPr>
          <w:color w:val="555555"/>
          <w:sz w:val="17"/>
        </w:rPr>
        <w:t xml:space="preserve">Zitiervorschlag: Anlage 2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UVSV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