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UVSV — Hinweis auf Bußgeldvorschriften des Gesetzes zum Schutz vor nichtionisierender Strahlung bei der Anwendung am Menschen</w:t>
      </w:r>
    </w:p>
    <w:p>
      <w:r>
        <w:rPr>
          <w:color w:val="555555"/>
          <w:sz w:val="18"/>
        </w:rPr>
        <w:t xml:space="preserve">UV-Schutz-Verordnung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Zuwiderhandlungen gegen § 3 des Gesetzes zum Schutz vor nichtionisierender Strahlung bei der Anwendung am Menschen in Verbindung mit § 3 Absatz 1 oder Absatz 2, § 4 Absatz 1, § 7 oder § 8 Absatz 1 oder Absatz 2 dieser Verordnung können nach § 8 Absatz 1 Nummer 3 des Gesetzes zum Schutz vor nichtionisierender Strahlung bei der Anwendung am Menschen geahndet werden.</w:t>
      </w:r>
    </w:p>
    <w:p>
      <w:r>
        <w:rPr>
          <w:color w:val="555555"/>
          <w:sz w:val="17"/>
        </w:rPr>
        <w:t xml:space="preserve">Zitiervorschlag: § 9 UVSV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https://recht.nulegal.eu/gesetze/UVSV/9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