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UVSV — Dokumentationspflichten</w:t>
      </w:r>
    </w:p>
    <w:p>
      <w:r>
        <w:rPr>
          <w:color w:val="555555"/>
          <w:sz w:val="18"/>
        </w:rPr>
        <w:t xml:space="preserve">UV-Schutz-Verordnung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ein UV-Bestrahlungsgerät betreibt, hat für das UV-Bestrahlungsgerät fortlaufend ein Geräte- und Betriebsbuch zu führen. Das Geräte- und Betriebsbuch muss zumindest die in Anlage 4 genannten Informationen enthalten. Das Geräte- und Betriebsbuch ist nach der letzten Nutzung des UV-Bestrahlungsgerätes drei Jahre aufzubewahren. Die Unterlagen sind vor unbefugtem Zugriff zu schützen.</w:t>
      </w:r>
    </w:p>
    <w:p>
      <w:r>
        <w:t xml:space="preserve">(2) Aufzeichnungen nach § 4 Absatz 1 Nummer 3 und 4 oder Kopien oder Abschriften derselben sind sechs Monate nach ihrer Erstellung aufzubewahren. Die Unterlagen sind vor unbefugtem Zugriff zu schützen.</w:t>
      </w:r>
    </w:p>
    <w:p>
      <w:r>
        <w:t xml:space="preserve">(3) Die Dokumentationspflichten der Absätze 1 und 2 können auch durch eine geeignete elektronische Dokumentation erfüllt werden. Eine geeignete elektronische Dokumentation nach Satz 1 liegt dann vor, wenn der Betreiber technisch-organisatorische Maßnahmen nach § 9 des Bundesdatenschutzgesetzes in Verbindung mit der Anlage zu § 9 Satz 1 des Bundesdatenschutzgesetzes trifft.</w:t>
      </w:r>
    </w:p>
    <w:p>
      <w:r>
        <w:t xml:space="preserve">(4) Die zuständige Behörde kann zur Überwachung der Dokumentationspflichten die nach den Absätzen 1 bis 3 dokumentierten Aufzeichnungen überprüfen.</w:t>
      </w:r>
    </w:p>
    <w:p>
      <w:r>
        <w:rPr>
          <w:color w:val="555555"/>
          <w:sz w:val="17"/>
        </w:rPr>
        <w:t xml:space="preserve">Zitiervorschlag: § 8 UVSV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https://recht.nulegal.eu/gesetze/UVSV/8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