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UVSV — Gleichwertigkeit vergleichbarer Qualifikationen aus anderen EU- und EWR-Staaten</w:t>
      </w:r>
    </w:p>
    <w:p>
      <w:r>
        <w:rPr>
          <w:color w:val="555555"/>
          <w:sz w:val="18"/>
        </w:rPr>
        <w:t xml:space="preserve">UV-Schutz-Verordnung</w:t>
      </w:r>
    </w:p>
    <w:p>
      <w:r>
        <w:rPr>
          <w:color w:val="555555"/>
          <w:sz w:val="18"/>
        </w:rPr>
        <w:t xml:space="preserve">Stand: 10.06.2019 (konsolidierte Textfassung, kein amtliches Inkrafttretensdatum)</w:t>
      </w:r>
    </w:p>
    <w:p>
      <w:r>
        <w:t xml:space="preserve">(1) Als der Teilnahme an einer Schulung nach § 5 Absatz 1 oder einer Fortbildung nach § 5 Absatz 2 gleichwertige Qualifikationen gelten Schulungs-, Befähigungs- und Ausbildungsnachweise, die von einer zuständigen Behörde eines anderen Mitgliedstaats der Europäischen Union oder eines Vertragsstaats des Abkommens über den Europäischen Wirtschaftsraum ausgestellt worden sind und</w:t>
      </w:r>
    </w:p>
    <w:p>
      <w:pPr>
        <w:ind w:left="420"/>
      </w:pPr>
      <w:r>
        <w:t xml:space="preserve">1. die in dem ausstellenden Staat erforderlich sind, um als Fachpersonal tätig zu werden oder</w:t>
      </w:r>
    </w:p>
    <w:p>
      <w:pPr>
        <w:ind w:left="420"/>
      </w:pPr>
      <w:r>
        <w:t xml:space="preserve">2. die, sofern die Tätigkeit im Niederlassungsstaat nicht durch Rechts- oder Verwaltungsvorschrift an den Besitz bestimmter Berufsqualifikationen gebunden ist, bescheinigen, dass die Inhaberin oder der Inhaber auf die Tätigkeit als Fachpersonal vorbereitet worden ist und in den letzten zehn Jahren vor Antragstellung mindestens zwei Jahre einer Tätigkeit als Fachpersonal nachgegangen ist; die Pflicht zum Nachweis dieser zweijährigen Berufserfahrung entfällt, wenn der Ausbildungsnachweis den Abschluss einer reglementierten Ausbildung im Sinne des Artikels 13 Absatz 2 Unterabsatz 3 der Richtlinie 2005/36/EG des Europäischen Parlaments und des Rates vom 7. September 2005 über die Anerkennung von Berufsqualifikationen (ABl. L 255 vom 30.9.2005, S. 22, L 271 vom 16.10.2007, S. 18, L 93 vom 4.4.2008, S. 28, L 33 vom 3.2.2009, S. 49), die zuletzt durch die Verordnung (EG) Nr. 279/2009 (ABl. L 93 vom 7.4.2009, S. 11) geändert worden ist, bestätigt.</w:t>
      </w:r>
    </w:p>
    <w:p>
      <w:r>
        <w:t xml:space="preserve">Nachweisen nach Satz 1 gleichgestellt sind Nachweise, die in einem Drittstaat ausgestellt wurden, sofern diese Nachweise in einem der in Satz 2 genannten Staaten anerkannt worden sind und dieser Staat der Inhaberin oder dem Inhaber der Nachweise bescheinigt, in seinem Hoheitsgebiet mindestens drei Jahre Berufserfahrung als Fachpersonal erworben zu haben.</w:t>
      </w:r>
    </w:p>
    <w:p>
      <w:r>
        <w:t xml:space="preserve">(2) Die Qualifikationsnachweise nach § 5 Absatz 1 und 2 sowie die Qualifikationsnachweise nach Absatz 1 sind am Betriebsort aufzubewahren und der zuständigen Behörde auf Verlangen vorzulegen. Bestehen Zweifel an der Echtheit der vorgelegten Bescheinigungen oder an den dadurch verliehenen Rechten, kann die zuständige Behörde durch Nachfrage bei der zuständigen Behörde oder Stelle des Niederlassungsstaats die Echtheit oder die dadurch verliehenen Rechte überprüfen.</w:t>
      </w:r>
    </w:p>
    <w:p>
      <w:r>
        <w:t xml:space="preserve">(3) Für die vorübergehende und gelegentliche Dienstleistung als Fachpersonal im Inland gilt § 13a der Gewerbeordnung.</w:t>
      </w:r>
    </w:p>
    <w:p>
      <w:r>
        <w:rPr>
          <w:color w:val="555555"/>
          <w:sz w:val="17"/>
        </w:rPr>
        <w:t xml:space="preserve">Zitiervorschlag: § 6 UVSV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