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UVSV — Schulung, Fortbildung</w:t>
      </w:r>
    </w:p>
    <w:p>
      <w:r>
        <w:rPr>
          <w:color w:val="555555"/>
          <w:sz w:val="18"/>
        </w:rPr>
        <w:t xml:space="preserve">UV-Schutz-Verordnung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Schulung zum Fachpersonal muss zumindest die in Anlage 6 aufgeführten fachlichen Kenntnisse für einen sicheren Umgang mit UV-Bestrahlungsgeräten sowie Kenntnisse in den allgemeinen Wirkungen von UV-Strahlung auf den Menschen und für die Einschätzung des individuellen Risikos von UV-Strahlung vermitteln. Die Schulungsdauer beträgt mindestens zwölf Stunden.</w:t>
      </w:r>
    </w:p>
    <w:p>
      <w:r>
        <w:t xml:space="preserve">(2) Die Fortbildung hat einen Überblick über die in Anlage 6 aufgeführten Inhalte und den technischen Fortschritt zu vermitteln. Die Dauer einer Fortbildung nach Satz 1 beträgt mindestens fünf Stunden.</w:t>
      </w:r>
    </w:p>
    <w:p>
      <w:r>
        <w:t xml:space="preserve">(3) Über die Teilnahme an einer Schulung nach Absatz 1 sowie an einer Fortbildung nach Absatz 2 ist vom Schulungsträger ein Nachweis auszustellen.</w:t>
      </w:r>
    </w:p>
    <w:p>
      <w:r>
        <w:t xml:space="preserve">(4) Eine Schulung nach Absatz 1 und eine Fortbildung nach Absatz 2 darf nur ein Schulungsträger anbieten, der hierfür akkreditiert wurde. Voraussetzung für die Akkreditierung des Schulungsträgers ist, dass</w:t>
      </w:r>
    </w:p>
    <w:p>
      <w:pPr>
        <w:ind w:left="420"/>
      </w:pPr>
      <w:r>
        <w:t xml:space="preserve">1. die Schulungs- und Fortbildungsinhalte geeignet sind, die in Anlage 6 aufgeführten fachlichen Kenntnisse für einen sicheren Umgang mit UV-Bestrahlungsgeräten sowie Kenntnisse in den allgemeinen Wirkungen von UV-Strahlung auf den Menschen und für die Einschätzung des individuellen Risikos von UV-Strahlung zu vermitteln und die fachliche Leitung der Schulung und der Fortbildung des Schulungsträgers sowie die vom Schulungsträger beauftragten Lehrkräfte die Vermittlung dieser Kenntnisse gewährleisten und</w:t>
      </w:r>
    </w:p>
    <w:p>
      <w:pPr>
        <w:ind w:left="420"/>
      </w:pPr>
      <w:r>
        <w:t xml:space="preserve">2. die vom Schulungsträger beauftragten Lehrkräfte die erforderliche Unabhängigkeit und Zuverlässigkeit für die Durchführung der Schulung und der Fortbildung besitzen.</w:t>
      </w:r>
    </w:p>
    <w:p>
      <w:r>
        <w:t xml:space="preserve">Die Akkreditierung gilt für maximal fünf Jahre für das gesamte Bundesgebiet. Für eine verlängerte oder erneute Akkreditierung ist auf Antrag das Akkreditierungsverfahren erneut durchzuführen.</w:t>
      </w:r>
    </w:p>
    <w:p>
      <w:r>
        <w:t xml:space="preserve">(5) Akkreditierungen anderer Mitgliedstaaten der Europäischen Union oder aus einem anderen Vertragsstaat des Abkommens über den Europäischen Wirtschaftsraum stehen denen nach Absatz 4 Satz 1 gleich, wenn die Akkreditierung die Anforderungen des Absatzes 4 Satz 2 oder die auf Grund ihrer Zielsetzung im Wesentlichen vergleichbaren Anforderungen des Ausstellungsstaats erfüllen.</w:t>
      </w:r>
    </w:p>
    <w:p>
      <w:r>
        <w:rPr>
          <w:color w:val="555555"/>
          <w:sz w:val="17"/>
        </w:rPr>
        <w:t xml:space="preserve">Zitiervorschlag: § 5 UVSV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https://recht.nulegal.eu/gesetze/UVSV/5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