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UVSV — Einsatz, Aufgaben und Qualifikation des Fachpersonals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UV-Bestrahlungsgerät betreibt, hat sicherzustellen, dass</w:t>
      </w:r>
    </w:p>
    <w:p>
      <w:pPr>
        <w:ind w:left="420"/>
      </w:pPr>
      <w:r>
        <w:t xml:space="preserve">1. mindestens eine als Fachpersonal für den Umgang mit UV-Bestrahlungsgeräten nach Absatz 4 qualifizierte Person (Fachpersonal) während der Betriebszeiten der UV-Bestrahlungsgeräte für den Kontakt mit den Nutzerinnen oder den Nutzern und die Überprüfung der UV-Bestrahlungsgeräte anwesend ist,</w:t>
      </w:r>
    </w:p>
    <w:p>
      <w:pPr>
        <w:ind w:left="420"/>
      </w:pPr>
      <w:r>
        <w:t xml:space="preserve">2. das Fachpersonal anbietet, die Nutzerin oder den Nutzer in die sichere Bedienung des UV-Bestrahlungsgerätes einschließlich der Notabschaltung einzuweisen,</w:t>
      </w:r>
    </w:p>
    <w:p>
      <w:pPr>
        <w:ind w:left="420"/>
      </w:pPr>
      <w:r>
        <w:t xml:space="preserve">3. das Fachpersonal anbietet, eine auf die Person abgestimmte Hauttypbestimmung nach Anlage 1 vorzunehmen,</w:t>
      </w:r>
    </w:p>
    <w:p>
      <w:pPr>
        <w:ind w:left="420"/>
      </w:pPr>
      <w:r>
        <w:t xml:space="preserve">4. das Fachpersonal anbietet, einen auf die Person abgestimmten Dosierungsplan nach Anlage 5 zu erstellen.</w:t>
      </w:r>
    </w:p>
    <w:p>
      <w:r>
        <w:t xml:space="preserve">Es ist ausreichend, die Angebote nach Satz 1 Nummer 2 bis 4 zu Beginn einer Bestrahlungsserie nach Anlage 5 Nummer 3 zu unterbreiten.</w:t>
      </w:r>
    </w:p>
    <w:p>
      <w:r>
        <w:t xml:space="preserve">(2) Wer nicht mehr als zwei UV-Bestrahlungsgeräte an einem Aufstellungsort betreibt, kann von Absatz 1 Satz 1 Nummer 1 abweichen, wenn durch technische Maßnahmen sichergestellt ist, dass eine Nutzung der UV-Bestrahlungsgeräte nur möglich ist, wenn der Nutzerin oder dem Nutzer vor Beginn jeder Bestrahlungsserie gemäß Anlage 5 Nummer 3 das Angebot, das in § 3 Absatz 2 Nummer 1 geregelt ist, sowie die Angebote, die in Absatz 1 Satz 1 Nummer 2 bis 4 geregelt sind, durch Fachpersonal unterbreitet werden.</w:t>
      </w:r>
    </w:p>
    <w:p>
      <w:r>
        <w:t xml:space="preserve">(3) Bei der Erstellung des Dosierungsplans nach Absatz 1 Satz 1 Nummer 4 sind folgende Punkte zu berücksichtigen:</w:t>
      </w:r>
    </w:p>
    <w:p>
      <w:pPr>
        <w:ind w:left="420"/>
      </w:pPr>
      <w:r>
        <w:t xml:space="preserve">1. der Hauttyp,</w:t>
      </w:r>
    </w:p>
    <w:p>
      <w:pPr>
        <w:ind w:left="420"/>
      </w:pPr>
      <w:r>
        <w:t xml:space="preserve">2. die Ausschlusskriterien für die Benutzung von UV-Bestrahlungsgeräten nach Anlage 5 (Hauttypen I und II),</w:t>
      </w:r>
    </w:p>
    <w:p>
      <w:pPr>
        <w:ind w:left="420"/>
      </w:pPr>
      <w:r>
        <w:t xml:space="preserve">3. die Anzahl, Dauer und Stärke vorangegangener Bestrahlungen durch UV-Bestrahlungsgeräte und die Sonne sowie</w:t>
      </w:r>
    </w:p>
    <w:p>
      <w:pPr>
        <w:ind w:left="420"/>
      </w:pPr>
      <w:r>
        <w:t xml:space="preserve">4. die nach Anlage 5 empfohlenen hauttypspezifischen maximalen erythemwirksamen Bestrahlungen.</w:t>
      </w:r>
    </w:p>
    <w:p>
      <w:r>
        <w:t xml:space="preserve">(4) Als Fachpersonal ist qualifiziert, wer an einer Schulung nach § 5 Absatz 1 teilgenommen hat und mindestens alle fünf Jahre an einer Fortbildung nach § 5 Absatz 2 teilnimmt. Fachpersonal, das länger als fünf Jahre nicht an einer Fortbildung nach § 5 Absatz 2 teilgenommen hat, kann nicht mehr als Fachpersonal nach Satz 1 tätig werden, bis es an einer Fortbildung nach § 5 Absatz 2 teilgenommen hat. Als Fachpersonal gilt auch das Personal mit vergleichbaren Qualifikationen aus anderen EU- und EWR-Staaten gemäß § 6.</w:t>
      </w:r>
    </w:p>
    <w:p>
      <w:r>
        <w:rPr>
          <w:color w:val="555555"/>
          <w:sz w:val="17"/>
        </w:rPr>
        <w:t xml:space="preserve">Zitiervorschlag: § 4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