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UVSV — Inkrafttreten</w:t>
      </w:r>
    </w:p>
    <w:p>
      <w:r>
        <w:rPr>
          <w:color w:val="555555"/>
          <w:sz w:val="18"/>
        </w:rPr>
        <w:t xml:space="preserve">UV-Schutz-Verordnung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vorbehaltlich des Absatzes 2 am 1. Januar 2012 in Kraft.</w:t>
      </w:r>
    </w:p>
    <w:p>
      <w:r>
        <w:t xml:space="preserve">(2) § 4 Absatz 1 tritt am 1. November 2012 in Kraft.</w:t>
      </w:r>
    </w:p>
    <w:p>
      <w:r>
        <w:rPr>
          <w:color w:val="555555"/>
          <w:sz w:val="17"/>
        </w:rPr>
        <w:t xml:space="preserve">Zitiervorschlag: § 11 UVSV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https://recht.nulegal.eu/gesetze/UVSV/11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