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UVPPortV — Speicherung der Daten</w:t>
      </w:r>
    </w:p>
    <w:p>
      <w:r>
        <w:rPr>
          <w:color w:val="555555"/>
          <w:sz w:val="18"/>
        </w:rPr>
        <w:t xml:space="preserve">UVP-Portale-Verordnung</w:t>
      </w:r>
    </w:p>
    <w:p>
      <w:r>
        <w:rPr>
          <w:color w:val="555555"/>
          <w:sz w:val="18"/>
        </w:rPr>
        <w:t xml:space="preserve">Stand: 24.11.2020 (konsolidierte Textfassung, kein amtliches Inkrafttretensdatum)</w:t>
      </w:r>
    </w:p>
    <w:p>
      <w:r>
        <w:t xml:space="preserve">Die portalbetreibende Behörde kann die Daten so lange speichern,</w:t>
      </w:r>
    </w:p>
    <w:p>
      <w:pPr>
        <w:ind w:left="420"/>
      </w:pPr>
      <w:r>
        <w:t xml:space="preserve">1. wie sie für die Öffentlichkeit über das zentrale Internetportal zugänglich sind und</w:t>
      </w:r>
    </w:p>
    <w:p>
      <w:pPr>
        <w:ind w:left="420"/>
      </w:pPr>
      <w:r>
        <w:t xml:space="preserve">2. wie es zum Zweck der Berichterstattung an die Europäische Kommission nach § 73 des Gesetzes über die Umweltverträglichkeitsprüfung erforderlich ist; sie darf die Daten jedoch längstens speichern jeweils bis zum Ablauf von zwei Jahren nach dem Zeitpunkt, zu dem die Angaben im Sinne des § 73 des Gesetzes über die Umweltverträglichkeitsprüfung dem für Umweltschutz zuständigen Bundesministerium mitgeteilt worden sind.</w:t>
      </w:r>
    </w:p>
    <w:p>
      <w:r>
        <w:rPr>
          <w:color w:val="555555"/>
          <w:sz w:val="17"/>
        </w:rPr>
        <w:t xml:space="preserve">Zitiervorschlag: § 6 UVPPortV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https://recht.nulegal.eu/gesetze/UVPPortV/6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