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UVPPortV — Anwendungsbereich</w:t>
      </w:r>
    </w:p>
    <w:p>
      <w:r>
        <w:rPr>
          <w:color w:val="555555"/>
          <w:sz w:val="18"/>
        </w:rPr>
        <w:t xml:space="preserve">UVP-Portale-Verordnung</w:t>
      </w:r>
    </w:p>
    <w:p>
      <w:r>
        <w:rPr>
          <w:color w:val="555555"/>
          <w:sz w:val="18"/>
        </w:rPr>
        <w:t xml:space="preserve">Stand: 24.11.2020 (konsolidierte Textfassung, kein amtliches Inkrafttretensdatum)</w:t>
      </w:r>
    </w:p>
    <w:p>
      <w:r>
        <w:t xml:space="preserve">(1) Diese Verordnung gilt</w:t>
      </w:r>
    </w:p>
    <w:p>
      <w:pPr>
        <w:ind w:left="420"/>
      </w:pPr>
      <w:r>
        <w:t xml:space="preserve">1. für das zentrale Internetportal des Bundes, das nach § 20 Absatz 1 Satz 1 des Gesetzes über die Umweltverträglichkeitsprüfung einzurichten ist, und</w:t>
      </w:r>
    </w:p>
    <w:p>
      <w:pPr>
        <w:ind w:left="420"/>
      </w:pPr>
      <w:r>
        <w:t xml:space="preserve">2. für die zentralen Internetportale der Länder, die nach § 20 Absatz 1 Satz 1 des Gesetzes über die Umweltverträglichkeitsprüfung einzurichten sind.</w:t>
      </w:r>
    </w:p>
    <w:p>
      <w:r>
        <w:t xml:space="preserve">(2) Verpflichtungen nach den Bestimmungen des Bundes und der Länder über den Zugang zu Umweltinformationen bleiben unberührt.</w:t>
      </w:r>
    </w:p>
    <w:p>
      <w:r>
        <w:rPr>
          <w:color w:val="555555"/>
          <w:sz w:val="17"/>
        </w:rPr>
        <w:t xml:space="preserve">Zitiervorschlag: § 1 UVPPortV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https://recht.nulegal.eu/gesetze/UVPPortV/1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