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5 UVPG — Liste „SUP-pflichtiger Pläne und Programme“</w:t>
      </w:r>
    </w:p>
    <w:p>
      <w:r>
        <w:rPr>
          <w:color w:val="555555"/>
          <w:sz w:val="18"/>
        </w:rPr>
        <w:t xml:space="preserve">Gesetz über die Umweltverträglichkeitsprüfung</w:t>
      </w:r>
    </w:p>
    <w:p>
      <w:r>
        <w:rPr>
          <w:color w:val="555555"/>
          <w:sz w:val="18"/>
        </w:rPr>
        <w:t xml:space="preserve">Stand: 05.01.2024 (konsolidierte Textfassung, kein amtliches Inkrafttretensdatum)</w:t>
      </w:r>
    </w:p>
    <w:p>
      <w:r>
        <w:t xml:space="preserve">(Fundstelle: BGBl. I 2021, 588 – 589; bzgl. der einzelnen Änderungen vgl. Fußnote)</w:t>
      </w:r>
    </w:p>
    <w:p>
      <w:r>
        <w:t xml:space="preserve">Nachstehende Pläne und Programme fallen nach § 1 Absatz 1 Nummer 2, § 2 Absatz 7 in den Anwendungsbereich dieses Gesetzes.</w:t>
      </w:r>
    </w:p>
    <w:p>
      <w:r>
        <w:rPr>
          <w:rFonts w:ascii="Courier New" w:hAnsi="Courier New"/>
          <w:sz w:val="17"/>
        </w:rPr>
        <w:t xml:space="preserve">Legende:</w:t>
      </w:r>
    </w:p>
    <w:p>
      <w:r>
        <w:rPr>
          <w:rFonts w:ascii="Courier New" w:hAnsi="Courier New"/>
          <w:sz w:val="17"/>
        </w:rPr>
        <w:t xml:space="preserve">Nr.    =    Nummer des Plans oder Programms</w:t>
      </w:r>
    </w:p>
    <w:p>
      <w:r>
        <w:rPr>
          <w:rFonts w:ascii="Courier New" w:hAnsi="Courier New"/>
          <w:sz w:val="17"/>
        </w:rPr>
        <w:t xml:space="preserve">Plan oder Programm    =    Art des Plans oder Programms</w:t>
      </w:r>
    </w:p>
    <w:p>
      <w:r>
        <w:rPr>
          <w:rFonts w:ascii="Courier New" w:hAnsi="Courier New"/>
          <w:sz w:val="17"/>
        </w:rPr>
        <w:t xml:space="preserve">Nr.    Plan oder Programm</w:t>
      </w:r>
    </w:p>
    <w:p>
      <w:r>
        <w:rPr>
          <w:rFonts w:ascii="Courier New" w:hAnsi="Courier New"/>
          <w:sz w:val="17"/>
        </w:rPr>
        <w:t xml:space="preserve">1.    Obligatorische Strategische Umweltprüfung nach § 35 Absatz 1 Nummer 1</w:t>
      </w:r>
    </w:p>
    <w:p>
      <w:r>
        <w:rPr>
          <w:rFonts w:ascii="Courier New" w:hAnsi="Courier New"/>
          <w:sz w:val="17"/>
        </w:rPr>
        <w:t xml:space="preserve">1.1    Verkehrswegeplanungen auf Bundesebene einschließlich Bedarfspläne nach einem Verkehrswegeausbaugesetz des Bundes</w:t>
      </w:r>
    </w:p>
    <w:p>
      <w:r>
        <w:rPr>
          <w:rFonts w:ascii="Courier New" w:hAnsi="Courier New"/>
          <w:sz w:val="17"/>
        </w:rPr>
        <w:t xml:space="preserve">1.2    Ausbaupläne nach § 12 Absatz 1 des Luftverkehrsgesetzes, wenn diese bei ihrer Aufstellung oder Änderung über den Umfang der Entscheidungen nach § 8 Absatz 1 und 2 des Luftverkehrsgesetzes wesentlich hinausreichen</w:t>
      </w:r>
    </w:p>
    <w:p>
      <w:r>
        <w:rPr>
          <w:rFonts w:ascii="Courier New" w:hAnsi="Courier New"/>
          <w:sz w:val="17"/>
        </w:rPr>
        <w:t xml:space="preserve">1.3    Risikomanagementpläne nach § 75 des Wasserhaushaltsgesetzes und die Aktualisierung der vergleichbaren Pläne nach § 75 Absatz 6 des Wasserhaushaltsgesetzes</w:t>
      </w:r>
    </w:p>
    <w:p>
      <w:r>
        <w:rPr>
          <w:rFonts w:ascii="Courier New" w:hAnsi="Courier New"/>
          <w:sz w:val="17"/>
        </w:rPr>
        <w:t xml:space="preserve">1.4    Maßnahmenprogramme nach § 82 des Wasserhaushaltsgesetzes</w:t>
      </w:r>
    </w:p>
    <w:p>
      <w:r>
        <w:rPr>
          <w:rFonts w:ascii="Courier New" w:hAnsi="Courier New"/>
          <w:sz w:val="17"/>
        </w:rPr>
        <w:t xml:space="preserve">1.5    Raumordnungsplanungen nach § 13 des Raumordnungsgesetzes</w:t>
      </w:r>
    </w:p>
    <w:p>
      <w:r>
        <w:rPr>
          <w:rFonts w:ascii="Courier New" w:hAnsi="Courier New"/>
          <w:sz w:val="17"/>
        </w:rPr>
        <w:t xml:space="preserve">1.6    Raumordnungsplanungen des Bundes nach § 17 Absatz 1 und 2 des Raumordnungsgesetzes</w:t>
      </w:r>
    </w:p>
    <w:p>
      <w:r>
        <w:rPr>
          <w:rFonts w:ascii="Courier New" w:hAnsi="Courier New"/>
          <w:sz w:val="17"/>
        </w:rPr>
        <w:t xml:space="preserve">1.7    Rechtsverordnungen nach § 249b Absatz 1 und 2 des Baugesetzbuchs</w:t>
      </w:r>
    </w:p>
    <w:p>
      <w:r>
        <w:rPr>
          <w:rFonts w:ascii="Courier New" w:hAnsi="Courier New"/>
          <w:sz w:val="17"/>
        </w:rPr>
        <w:t xml:space="preserve">1.8    Bauleitplanungen nach den §§ 6 und 10 des Baugesetzbuchs</w:t>
      </w:r>
    </w:p>
    <w:p>
      <w:r>
        <w:rPr>
          <w:rFonts w:ascii="Courier New" w:hAnsi="Courier New"/>
          <w:sz w:val="17"/>
        </w:rPr>
        <w:t xml:space="preserve">1.9    Maßnahmenprogramme nach § 45h des Wasserhaushaltsgesetzes</w:t>
      </w:r>
    </w:p>
    <w:p>
      <w:r>
        <w:rPr>
          <w:rFonts w:ascii="Courier New" w:hAnsi="Courier New"/>
          <w:sz w:val="17"/>
        </w:rPr>
        <w:t xml:space="preserve">1.10    Bundesbedarfspläne nach § 12e des Energiewirtschaftsgesetzes</w:t>
      </w:r>
    </w:p>
    <w:p>
      <w:r>
        <w:rPr>
          <w:rFonts w:ascii="Courier New" w:hAnsi="Courier New"/>
          <w:sz w:val="17"/>
        </w:rPr>
        <w:t xml:space="preserve">1.11    Bundesfachplanungen nach den §§ 4 und 5 des Netzausbaubeschleunigungsgesetzes Übertragungsnetz</w:t>
      </w:r>
    </w:p>
    <w:p>
      <w:r>
        <w:rPr>
          <w:rFonts w:ascii="Courier New" w:hAnsi="Courier New"/>
          <w:sz w:val="17"/>
        </w:rPr>
        <w:t xml:space="preserve">1.12    Nationale Aktionsprogramme nach Artikel 5 Absatz 1 der Richtlinie 91/676/EWG des Rates vom 12. Dezember 1991 zum Schutz der Gewässer vor Verunreinigung durch Nitrat aus landwirtschaftlichen Quellen (ABl. L 375 vom 31.12.1991, S. 1), die zuletzt durch die Verordnung (EG) Nr. 1137/2008 (ABl. L 311 vom 21.11.2008, S. 1) geändert worden ist</w:t>
      </w:r>
    </w:p>
    <w:p>
      <w:r>
        <w:rPr>
          <w:rFonts w:ascii="Courier New" w:hAnsi="Courier New"/>
          <w:sz w:val="17"/>
        </w:rPr>
        <w:t xml:space="preserve">1.13    Das Nationale Entsorgungsprogramm nach § 2c des Atomgesetzes</w:t>
      </w:r>
    </w:p>
    <w:p>
      <w:r>
        <w:rPr>
          <w:rFonts w:ascii="Courier New" w:hAnsi="Courier New"/>
          <w:sz w:val="17"/>
        </w:rPr>
        <w:t xml:space="preserve">1.14    Bundesfachpläne Offshore nach § 17a des Energiewirtschaftsgesetzes</w:t>
      </w:r>
    </w:p>
    <w:p>
      <w:r>
        <w:rPr>
          <w:rFonts w:ascii="Courier New" w:hAnsi="Courier New"/>
          <w:sz w:val="17"/>
        </w:rPr>
        <w:t xml:space="preserve">1.15    Festlegung der Standortregionen für die übertägige Erkundung nach § 15 Absatz 3 des Standortauswahlgesetzes</w:t>
      </w:r>
    </w:p>
    <w:p>
      <w:r>
        <w:rPr>
          <w:rFonts w:ascii="Courier New" w:hAnsi="Courier New"/>
          <w:sz w:val="17"/>
        </w:rPr>
        <w:t xml:space="preserve">1.16    Festlegung der Standorte für die untertägige Erkundung nach § 17 Absatz 2 des Standortauswahlgesetzes</w:t>
      </w:r>
    </w:p>
    <w:p>
      <w:r>
        <w:rPr>
          <w:rFonts w:ascii="Courier New" w:hAnsi="Courier New"/>
          <w:sz w:val="17"/>
        </w:rPr>
        <w:t xml:space="preserve">1.17    Flächenentwicklungspläne nach § 5 des Windenergie-auf-See-Gesetzes</w:t>
      </w:r>
    </w:p>
    <w:p>
      <w:r>
        <w:rPr>
          <w:rFonts w:ascii="Courier New" w:hAnsi="Courier New"/>
          <w:sz w:val="17"/>
        </w:rPr>
        <w:t xml:space="preserve">1.18    Feststellungen der Eignung einer Fläche und der installierbaren Leistung auf der Fläche nach § 12 Absatz 5 des Windenergie-auf-See-Gesetzes</w:t>
      </w:r>
    </w:p>
    <w:p>
      <w:r>
        <w:rPr>
          <w:rFonts w:ascii="Courier New" w:hAnsi="Courier New"/>
          <w:sz w:val="17"/>
        </w:rPr>
        <w:t xml:space="preserve">2.    Strategische Umweltprüfung bei Rahmensetzung nach § 35 Absatz 1 Nummer 2</w:t>
      </w:r>
    </w:p>
    <w:p>
      <w:r>
        <w:rPr>
          <w:rFonts w:ascii="Courier New" w:hAnsi="Courier New"/>
          <w:sz w:val="17"/>
        </w:rPr>
        <w:t xml:space="preserve">2.1    Lärmaktionspläne nach § 47d des Bundes-Immissionsschutzgesetzes</w:t>
      </w:r>
    </w:p>
    <w:p>
      <w:r>
        <w:rPr>
          <w:rFonts w:ascii="Courier New" w:hAnsi="Courier New"/>
          <w:sz w:val="17"/>
        </w:rPr>
        <w:t xml:space="preserve">2.2    Luftreinhaltepläne nach § 47 Absatz 1 des Bundes-Immissionsschutzgesetzes</w:t>
      </w:r>
    </w:p>
    <w:p>
      <w:r>
        <w:rPr>
          <w:rFonts w:ascii="Courier New" w:hAnsi="Courier New"/>
          <w:sz w:val="17"/>
        </w:rPr>
        <w:t xml:space="preserve">2.3    Abfallwirtschaftskonzepte nach § 21 des Kreislaufwirtschaftsgesetzes</w:t>
      </w:r>
    </w:p>
    <w:p>
      <w:r>
        <w:rPr>
          <w:rFonts w:ascii="Courier New" w:hAnsi="Courier New"/>
          <w:sz w:val="17"/>
        </w:rPr>
        <w:t xml:space="preserve">2.4    Fortschreibung der Abfallwirtschaftskonzepte nach § 16 Absatz 3 Satz 4, 2. Alternative des Kreislaufwirtschafts- und Abfallgesetzes vom 27. September 1994 (BGBl. I S. 2705), das zuletzt durch Artikel 5 des Gesetzes vom 6. Oktober 2011 (BGBl. I S. 1986) geändert worden ist,</w:t>
      </w:r>
    </w:p>
    <w:p>
      <w:r>
        <w:rPr>
          <w:rFonts w:ascii="Courier New" w:hAnsi="Courier New"/>
          <w:sz w:val="17"/>
        </w:rPr>
        <w:t xml:space="preserve">2.5    Abfallwirtschaftspläne nach § 30 des Kreislaufwirtschaftsgesetzes, einschließlich von besonderen Kapiteln oder gesonderten Teilplänen über die Entsorgung von gefährlichen Abfällen, Altbatterien und Akkumulatoren oder Verpackungen und Verpackungsabfällen</w:t>
      </w:r>
    </w:p>
    <w:p>
      <w:r>
        <w:rPr>
          <w:rFonts w:ascii="Courier New" w:hAnsi="Courier New"/>
          <w:sz w:val="17"/>
        </w:rPr>
        <w:t xml:space="preserve">2.6    Abfallvermeidungsprogramme nach § 33 des Kreislaufwirtschaftsgesetzes</w:t>
      </w:r>
    </w:p>
    <w:p>
      <w:r>
        <w:rPr>
          <w:rFonts w:ascii="Courier New" w:hAnsi="Courier New"/>
          <w:sz w:val="17"/>
        </w:rPr>
        <w:t xml:space="preserve">2.7    Operationelle Programme aus dem Europäischen Fonds für Regionale Entwicklung, dem Europäischen Sozialfonds, dem Kohäsionsfonds und dem Europäischen Meeres- und Fischereifonds sowie Entwicklungsprogramme für den ländlichen Raum aus dem Europäischen Landwirtschaftsfonds für die Entwicklung des ländlichen Raumes</w:t>
      </w:r>
    </w:p>
    <w:p>
      <w:r>
        <w:rPr>
          <w:rFonts w:ascii="Courier New" w:hAnsi="Courier New"/>
          <w:sz w:val="17"/>
        </w:rPr>
        <w:t xml:space="preserve">2.8    Besondere Notfallpläne des Bundes oder der Länder nach § 99 Absatz 2 Nummer 9 oder § 100, jeweils auch in Verbindung mit § 103 Absatz 1 des Strahlenschutzgesetzes, für die Entsorgung von Abfällen bei möglichen Notfällen</w:t>
      </w:r>
    </w:p>
    <w:p>
      <w:r>
        <w:rPr>
          <w:rFonts w:ascii="Courier New" w:hAnsi="Courier New"/>
          <w:sz w:val="17"/>
        </w:rPr>
        <w:t xml:space="preserve">2.9    Pläne des Bundes oder der Länder nach § 118 Absatz 2 oder 5, jeweils auch in Verbindung mit § 103 Absatz 1 des Strahlenschutzgesetzes, für die Entsorgung von Abfällen</w:t>
      </w:r>
    </w:p>
    <w:p>
      <w:r>
        <w:rPr>
          <w:rFonts w:ascii="Courier New" w:hAnsi="Courier New"/>
          <w:sz w:val="17"/>
        </w:rPr>
        <w:t xml:space="preserve">2.10    Bestimmung von Maßnahmen durch Rechtsverordnung nach § 123 Satz 2 des Strahlenschutzgesetzes</w:t>
      </w:r>
    </w:p>
    <w:p>
      <w:r>
        <w:rPr>
          <w:rFonts w:ascii="Courier New" w:hAnsi="Courier New"/>
          <w:sz w:val="17"/>
        </w:rPr>
        <w:t xml:space="preserve">2.11    Radonmaßnahmenplan nach § 122 Absatz 1 des Strahlenschutzgesetzes</w:t>
      </w:r>
    </w:p>
    <w:p>
      <w:r>
        <w:rPr>
          <w:rFonts w:ascii="Courier New" w:hAnsi="Courier New"/>
          <w:sz w:val="17"/>
        </w:rPr>
        <w:t xml:space="preserve">2.12    Aktionspläne nach § 40d des Bundesnaturschutzgesetzes</w:t>
      </w:r>
    </w:p>
    <w:p>
      <w:r>
        <w:rPr>
          <w:rFonts w:ascii="Courier New" w:hAnsi="Courier New"/>
          <w:sz w:val="17"/>
        </w:rPr>
        <w:t xml:space="preserve">2.13    Klimaschutzprogramme nach § 9 des Bundes-Klimaschutzgesetzes</w:t>
      </w:r>
    </w:p>
    <w:p>
      <w:r>
        <w:rPr>
          <w:rFonts w:ascii="Courier New" w:hAnsi="Courier New"/>
          <w:sz w:val="17"/>
        </w:rPr>
        <w:t xml:space="preserve">2.14    Entscheidungen über die Ausweisung als Gebiet zum Neu- oder Ausbau von Wärmenetzen oder als Wasserstoffnetzausbaugebiet nach § 26 des Wärmeplanungsgesetzes</w:t>
      </w:r>
    </w:p>
    <w:p>
      <w:r>
        <w:rPr>
          <w:color w:val="555555"/>
          <w:sz w:val="17"/>
        </w:rPr>
        <w:t xml:space="preserve">Zitiervorschlag: Anlage 5 UVPG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https://recht.nulegal.eu/gesetze/UVPG/anlage-5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