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UVPG — Ermächtigung zum Erlass von Verwaltungsvorschriften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Die Bundesregierung kann mit Zustimmung des Bundesrates allgemeine Verwaltungsvorschriften erlassen, insbesondere über</w:t>
      </w:r>
    </w:p>
    <w:p>
      <w:pPr>
        <w:ind w:left="420"/>
      </w:pPr>
      <w:r>
        <w:t xml:space="preserve">1. Kriterien und Verfahren, die zu dem in § 3 Satz 2 und § 25 Absatz 1 genannten Zweck bei der Ermittlung, Beschreibung und Bewertung von Umweltauswirkungen zugrunde zu legen sind,</w:t>
      </w:r>
    </w:p>
    <w:p>
      <w:pPr>
        <w:ind w:left="420"/>
      </w:pPr>
      <w:r>
        <w:t xml:space="preserve">2. Grundsätze für den Untersuchungsrahmen nach § 15,</w:t>
      </w:r>
    </w:p>
    <w:p>
      <w:pPr>
        <w:ind w:left="420"/>
      </w:pPr>
      <w:r>
        <w:t xml:space="preserve">3. Grundsätze für die zusammenfassende Darstellung nach § 24 und für die begründete Bewertung nach § 25 Absatz 1,</w:t>
      </w:r>
    </w:p>
    <w:p>
      <w:pPr>
        <w:ind w:left="420"/>
      </w:pPr>
      <w:r>
        <w:t xml:space="preserve">4. Grundsätze und Verfahren zur Vorprüfung nach § 7 sowie über die in Anlage 3 aufgeführten Kriterien,</w:t>
      </w:r>
    </w:p>
    <w:p>
      <w:pPr>
        <w:ind w:left="420"/>
      </w:pPr>
      <w:r>
        <w:t xml:space="preserve">5. Grundsätze für die Erstellung des Umweltberichts nach § 40,</w:t>
      </w:r>
    </w:p>
    <w:p>
      <w:pPr>
        <w:ind w:left="420"/>
      </w:pPr>
      <w:r>
        <w:t xml:space="preserve">6. Grundsätze für die Überwachung nach den §§ 28, 45 und 68.</w:t>
      </w:r>
    </w:p>
    <w:p>
      <w:r>
        <w:rPr>
          <w:color w:val="555555"/>
          <w:sz w:val="17"/>
        </w:rPr>
        <w:t xml:space="preserve">Zitiervorschlag: § 70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