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UVPG — Bußgeldvorschriften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ohne Planfeststellungsbeschluss nach § 65 Absatz 1 oder ohne Plangenehmigung nach § 65 Absatz 2 Satz 1 ein Vorhaben durchführt,</w:t>
      </w:r>
    </w:p>
    <w:p>
      <w:pPr>
        <w:ind w:left="420"/>
      </w:pPr>
      <w:r>
        <w:t xml:space="preserve">2. einer vollziehbaren Auflage nach § 66 Absatz 2 zuwiderhandelt oder</w:t>
      </w:r>
    </w:p>
    <w:p>
      <w:pPr>
        <w:ind w:left="420"/>
      </w:pPr>
      <w:r>
        <w:t xml:space="preserve">3. einer Rechtsverordnung nach</w:t>
      </w:r>
    </w:p>
    <w:p>
      <w:pPr>
        <w:ind w:left="780"/>
      </w:pPr>
      <w:r>
        <w:t xml:space="preserve">a) § 66 Absatz 6 Satz 1 Nummer 1, 3, 4 oder 6, jeweils auch in Verbindung mit Absatz 7 Nummer 2, oder</w:t>
      </w:r>
    </w:p>
    <w:p>
      <w:pPr>
        <w:ind w:left="780"/>
      </w:pPr>
      <w:r>
        <w:t xml:space="preserve">b) § 66 Absatz 6 Satz 1 Nummer 2, auch in Verbindung mit Absatz 7 Nummer 2, oder § 66 Absatz 6 Satz 1 Nummer 5 oder Absatz 7 Nummer 1</w:t>
      </w:r>
    </w:p>
    <w:p>
      <w:pPr>
        <w:ind w:left="420"/>
      </w:pPr>
      <w:r>
        <w:t xml:space="preserve">oder einer vollziehbaren Anordnung aufgrund einer solchen Rechtsverordnung zuwiderhandelt, soweit die Rechtsverordnung für einen bestimmten Tatbestand auf diese Bußgeldvorschrift verweist.</w:t>
      </w:r>
    </w:p>
    <w:p>
      <w:r>
        <w:t xml:space="preserve">(2) Die Ordnungswidrigkeit kann in den Fällen des Absatzes 1 Nummer 3 Buchstabe b mit einer Geldbuße bis zu zwanzigtausend Euro, in den übrigen Fällen mit einer Geldbuße bis zu fünfzigtausend Euro geahndet werden.</w:t>
      </w:r>
    </w:p>
    <w:p>
      <w:r>
        <w:rPr>
          <w:color w:val="555555"/>
          <w:sz w:val="17"/>
        </w:rPr>
        <w:t xml:space="preserve">Zitiervorschlag: § 69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