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62 UVPG — Grenzüberschreitende Behördenbeteiligung bei ausländischen Plänen und Programmen</w:t>
      </w:r>
    </w:p>
    <w:p>
      <w:r>
        <w:rPr>
          <w:color w:val="555555"/>
          <w:sz w:val="18"/>
        </w:rPr>
        <w:t xml:space="preserve">Gesetz über die Umweltverträglichkeitsprüfung</w:t>
      </w:r>
    </w:p>
    <w:p>
      <w:r>
        <w:rPr>
          <w:color w:val="555555"/>
          <w:sz w:val="18"/>
        </w:rPr>
        <w:t xml:space="preserve">Stand: 13.04.2021 (konsolidierte Textfassung, kein amtliches Inkrafttretensdatum)</w:t>
      </w:r>
    </w:p>
    <w:p>
      <w:r>
        <w:t xml:space="preserve">Für die Beteiligung der deutschen Behörden bei Plänen und Programmen eines anderen Staates gelten die Vorschriften für die grenzüberschreitende Behördenbeteiligung bei ausländischen Vorhaben nach § 58 und für die Konsultation mit dem anderen Staat nach § 55 Absatz 5 entsprechend.</w:t>
      </w:r>
    </w:p>
    <w:p>
      <w:r>
        <w:rPr>
          <w:color w:val="555555"/>
          <w:sz w:val="17"/>
        </w:rPr>
        <w:t xml:space="preserve">Zitiervorschlag: § 62 UVPG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https://recht.nulegal.eu/gesetze/UVPG/62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