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UVPG — Bergrechtliche Verfahren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13.04.2021 (konsolidierte Textfassung, kein amtliches Inkrafttretensdatum)</w:t>
      </w:r>
    </w:p>
    <w:p>
      <w:r>
        <w:t xml:space="preserve">Bei bergbaulichen Vorhaben, die in der Anlage 1 aufgeführt sind und dem Bergrecht unterliegen, werden die Umweltverträglichkeitsprüfung und die Überwachung des Vorhabens nach den Vorschriften des Bundesberggesetzes durchgeführt. Teil 2 Abschnitt 2 und 3 in Verbindung mit Anlage 4 findet nur Anwendung, soweit das Bundesberggesetz dies anordnet.</w:t>
      </w:r>
    </w:p>
    <w:p>
      <w:r>
        <w:rPr>
          <w:color w:val="555555"/>
          <w:sz w:val="17"/>
        </w:rPr>
        <w:t xml:space="preserve">Zitiervorschlag: § 51 UVPG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