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48 UVPG — Raumordnungspläne</w:t>
      </w:r>
    </w:p>
    <w:p>
      <w:r>
        <w:rPr>
          <w:color w:val="555555"/>
          <w:sz w:val="18"/>
        </w:rPr>
        <w:t xml:space="preserve">Gesetz über die Umweltverträglichkeitsprüfung</w:t>
      </w:r>
    </w:p>
    <w:p>
      <w:r>
        <w:rPr>
          <w:color w:val="555555"/>
          <w:sz w:val="18"/>
        </w:rPr>
        <w:t xml:space="preserve">Stand: 13.04.2021 (konsolidierte Textfassung, kein amtliches Inkrafttretensdatum)</w:t>
      </w:r>
    </w:p>
    <w:p>
      <w:r>
        <w:t xml:space="preserve">Besteht für die Aufstellung eines Raumordnungsplans nach diesem Gesetz die SUP-Pflicht, so wird die Strategische Umweltprüfung einschließlich der Überwachung nach dem Raumordnungsgesetz durchgeführt. Auf einen Raumordnungsplan nach Anlage 5 Nummer 1.5 oder 1.6, der Flächen für die Windenergienutzung oder für den Abbau von Rohstoffen ausweist, ist § 1 Absatz 1 Satz 1 Nummer 4 des Umwelt-Rechtsbehelfsgesetzes nicht anzuwenden.</w:t>
      </w:r>
    </w:p>
    <w:p>
      <w:r>
        <w:rPr>
          <w:color w:val="555555"/>
          <w:sz w:val="17"/>
        </w:rPr>
        <w:t xml:space="preserve">Zitiervorschlag: § 48 UVPG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https://recht.nulegal.eu/gesetze/UVPG/48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