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UVPG — Überwachung</w:t>
      </w:r>
    </w:p>
    <w:p>
      <w:r>
        <w:rPr>
          <w:color w:val="555555"/>
          <w:sz w:val="18"/>
        </w:rPr>
        <w:t xml:space="preserve">Gesetz über die Umweltverträglichkeitsprüfung</w:t>
      </w:r>
    </w:p>
    <w:p>
      <w:r>
        <w:rPr>
          <w:color w:val="555555"/>
          <w:sz w:val="18"/>
        </w:rPr>
        <w:t xml:space="preserve">Stand: 13.04.2021 (konsolidierte Textfassung, kein amtliches Inkrafttretensdatum)</w:t>
      </w:r>
    </w:p>
    <w:p>
      <w:r>
        <w:t xml:space="preserve">(1) Die erheblichen Umweltauswirkungen, die sich aus der Durchführung des Plans oder Programms ergeben, sind zu überwachen, um insbesondere frühzeitig unvorhergesehene nachteilige Auswirkungen zu ermitteln und geeignete Abhilfemaßnahmen ergreifen zu können. Die erforderlichen Überwachungsmaßnahmen sind mit der Annahme des Plans oder Programms auf der Grundlage der Angaben im Umweltbericht festzulegen.</w:t>
      </w:r>
    </w:p>
    <w:p>
      <w:r>
        <w:t xml:space="preserve">(2) Soweit Rechtsvorschriften des Bundes oder der Länder keine abweichende Zuständigkeit regeln, obliegt die Überwachung der für die Strategische Umweltprüfung zuständigen Behörde.</w:t>
      </w:r>
    </w:p>
    <w:p>
      <w:r>
        <w:t xml:space="preserve">(3) Andere Behörden haben der nach Absatz 2 zuständigen Behörde auf Verlangen alle Umweltinformationen zur Verfügung zu stellen, die zur Wahrnehmung der Aufgaben nach Absatz 1 erforderlich sind.</w:t>
      </w:r>
    </w:p>
    <w:p>
      <w:r>
        <w:t xml:space="preserve">(4) Die Ergebnisse der Überwachung sind der Öffentlichkeit nach den Vorschriften des Bundes und der Länder über den Zugang zu Umweltinformationen sowie den in § 41 genannten Behörden zugänglich zu machen und bei einer erneuten Aufstellung oder einer Änderung des Plans oder Programms zu berücksichtigen.</w:t>
      </w:r>
    </w:p>
    <w:p>
      <w:r>
        <w:t xml:space="preserve">(5) Zur Erfüllung der Anforderungen nach Absatz 1 können bestehende Überwachungsmechanismen, Daten- und Informationsquellen genutzt werden. § 40 Absatz 4 gilt entsprechend.</w:t>
      </w:r>
    </w:p>
    <w:p>
      <w:r>
        <w:rPr>
          <w:color w:val="555555"/>
          <w:sz w:val="17"/>
        </w:rPr>
        <w:t xml:space="preserve">Zitiervorschlag: § 45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