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UVPG — Feststellung der SUP-Pflicht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(1) Die zuständige Behörde stellt frühzeitig fest, ob nach den §§ 35 bis 37 eine Verpflichtung zur Durchführung einer Strategischen Umweltprüfung (SUP-Pflicht) besteht.</w:t>
      </w:r>
    </w:p>
    <w:p>
      <w:r>
        <w:t xml:space="preserve">(2) Die Feststellung der SUP-Pflicht ist, sofern eine Vorprüfung des Einzelfalls nach § 35 Absatz 2 oder § 37 vorgenommen worden ist, der Öffentlichkeit nach den Bestimmungen des Bundes und der Länder über den Zugang zu Umweltinformationen zugänglich zu machen; soll eine Strategische Umweltprüfung unterbleiben, ist dies einschließlich der dafür wesentlichen Gründe bekannt zu geben. Die Feststellung ist nicht selbständig anfechtbar.</w:t>
      </w:r>
    </w:p>
    <w:p>
      <w:r>
        <w:rPr>
          <w:color w:val="555555"/>
          <w:sz w:val="17"/>
        </w:rPr>
        <w:t xml:space="preserve">Zitiervorschlag: § 34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