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14d UVPG — Bau von Radwegen an Bundesstraßen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11.01.2024 (konsolidierte Textfassung, kein amtliches Inkrafttretensdatum)</w:t>
      </w:r>
    </w:p>
    <w:p>
      <w:r>
        <w:t xml:space="preserve">(1) Keiner Umweltverträglichkeitsprüfung bedarf die Änderung einer Bundesstraße durch den Bau eines straßenbegleitenden Radweges mit einer durchgehenden Länge von bis zu zehn Kilometern.</w:t>
      </w:r>
    </w:p>
    <w:p>
      <w:r>
        <w:t xml:space="preserve">(2) Eine allgemeine Vorprüfung entsprechend § 7 Absatz 1 wird in den Fällen des Absatzes 1 zur Feststellung der UVP-Pflicht durchgeführt, wenn durch die Baumaßnahme ein Natura 2000-Gebiet betroffen sein kann.</w:t>
      </w:r>
    </w:p>
    <w:p>
      <w:r>
        <w:rPr>
          <w:color w:val="555555"/>
          <w:sz w:val="17"/>
        </w:rPr>
        <w:t xml:space="preserve">Zitiervorschlag: § 14d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https://recht.nulegal.eu/gesetze/UVPG/14d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