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UVPG — UVP-Pflicht bei kumulierenden Vorhaben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Für kumulierende Vorhaben besteht die UVP-Pflicht, wenn die kumulierenden Vorhaben zusammen die maßgeblichen Größen- oder Leistungswerte nach § 6 erreichen oder überschreiten.</w:t>
      </w:r>
    </w:p>
    <w:p>
      <w:r>
        <w:t xml:space="preserve">(2) Bei kumulierenden Vorhaben, die zusammen die Prüfwerte für eine allgemeine Vorprüfung erstmals oder erneut erreichen oder überschreiten, ist die allgemeine Vorprüfung durchzuführen. Für die allgemeine Vorprüfung gilt § 7 Absatz 1 und 3 bis 7 entsprechend.</w:t>
      </w:r>
    </w:p>
    <w:p>
      <w:r>
        <w:t xml:space="preserve">(3) Bei kumulierenden Vorhaben, die zusammen die Prüfwerte für eine standortbezogene Vorprüfung erstmals oder erneut erreichen oder überschreiten, ist die standortbezogene Vorprüfung durchzuführen. Für die standortbezogene Vorprüfung gilt § 7 Absatz 2 bis 7 entsprechend.</w:t>
      </w:r>
    </w:p>
    <w:p>
      <w:r>
        <w:t xml:space="preserve">(4) Kumulierende Vorhaben liegen vor, wenn mehrere Vorhaben derselben Art von einem oder mehreren Vorhabenträgern durchgeführt werden und in einem engen Zusammenhang stehen. Ein enger Zusammenhang liegt vor, wenn</w:t>
      </w:r>
    </w:p>
    <w:p>
      <w:pPr>
        <w:ind w:left="420"/>
      </w:pPr>
      <w:r>
        <w:t xml:space="preserve">1. sich der Einwirkungsbereich der Vorhaben überschneidet und</w:t>
      </w:r>
    </w:p>
    <w:p>
      <w:pPr>
        <w:ind w:left="420"/>
      </w:pPr>
      <w:r>
        <w:t xml:space="preserve">2. die Vorhaben funktional und wirtschaftlich aufeinander bezogen sind.</w:t>
      </w:r>
    </w:p>
    <w:p>
      <w:r>
        <w:t xml:space="preserve">Technische und sonstige Anlagen müssen zusätzlich mit gemeinsamen betrieblichen oder baulichen Einrichtungen verbunden sein.</w:t>
      </w:r>
    </w:p>
    <w:p>
      <w:r>
        <w:t xml:space="preserve">(5) Für die in Anlage 1 Nummer 14.4, 14.5 und 19.1 aufgeführten Vorhaben gilt Absatz 4 mit der Maßgabe, dass zusätzlich ein enger zeitlicher Zusammenhang besteht.</w:t>
      </w:r>
    </w:p>
    <w:p>
      <w:r>
        <w:t xml:space="preserve">(6) Der in den jeweiligen Anwendungsbereich der Richtlinien 85/337/EWG und 97/11/EG fallende, aber vor Ablauf der jeweiligen Umsetzungsfristen erreichte Bestand bleibt hinsichtlich des Erreichens oder Überschreitens der Größen- oder Leistungswerte und der Prüfwerte unberücksichtigt.</w:t>
      </w:r>
    </w:p>
    <w:p>
      <w:r>
        <w:rPr>
          <w:color w:val="555555"/>
          <w:sz w:val="17"/>
        </w:rPr>
        <w:t xml:space="preserve">Zitiervorschlag: § 10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