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UVOGrV</w:t>
      </w:r>
    </w:p>
    <w:p>
      <w:r>
        <w:rPr>
          <w:color w:val="555555"/>
          <w:sz w:val="18"/>
        </w:rPr>
        <w:t xml:space="preserve">Unfallversicherungsobergrenzenverordnung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UVOGrV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https://recht.nulegal.eu/gesetze/UVOGrV/schlussformel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UVOGrV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