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UVOGrV</w:t>
      </w:r>
    </w:p>
    <w:p>
      <w:r>
        <w:rPr>
          <w:color w:val="555555"/>
          <w:sz w:val="18"/>
        </w:rPr>
        <w:t xml:space="preserve">Unfallversicherungsobergrenzenverordnung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VIII § 1 Absatz 6 Satz 1 des Zweiten Gesetzes zur Vereinheitlichung und Neuregelung des Besoldungsrechts in Bund und Ländern, der zuletzt durch Artikel 31 der Verordnung vom 31. Oktober 2006 (BGBl. I S. 2407) geändert worden ist, verordnet das Bundesministerium für Arbeit und Soziales im Einvernehmen mit dem Bundesministerium des Innern und dem Bundesministerium der Finanzen:</w:t>
      </w:r>
    </w:p>
    <w:p>
      <w:r>
        <w:rPr>
          <w:color w:val="555555"/>
          <w:sz w:val="17"/>
        </w:rPr>
        <w:t xml:space="preserve">Zitiervorschlag: Eingangsformel UVOGrV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https://recht.nulegal.eu/gesetze/UVOGrV/eingangsformel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