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UVOGrV — Stellenobergrenzen</w:t>
      </w:r>
    </w:p>
    <w:p>
      <w:r>
        <w:rPr>
          <w:color w:val="555555"/>
          <w:sz w:val="18"/>
        </w:rPr>
        <w:t xml:space="preserve">Unfallversicherungsobergrenzenverordnung</w:t>
      </w:r>
    </w:p>
    <w:p>
      <w:r>
        <w:rPr>
          <w:color w:val="555555"/>
          <w:sz w:val="18"/>
        </w:rPr>
        <w:t xml:space="preserve">Stand: 17.02.2024 (konsolidierte Textfassung, kein amtliches Inkrafttretensdatum)</w:t>
      </w:r>
    </w:p>
    <w:p>
      <w:r>
        <w:t xml:space="preserve">(1) Die Anteile der Beförderungsämter bei den bundesunmittelbaren gewerblichen Berufsgenossenschaften und der Sozialversicherung für Landwirtschaft, Forsten und Gartenbau dürfen nach Maßgabe sachgerechter Bewertung die in § 17a Absatz 1 der Bundeshaushaltsordnung festgelegten Obergrenzen nicht überschreiten.</w:t>
      </w:r>
    </w:p>
    <w:p>
      <w:r>
        <w:t xml:space="preserve">(2) § 17a Absatz 5 der Bundeshaushaltsordnung gilt entsprechend.</w:t>
      </w:r>
    </w:p>
    <w:p>
      <w:r>
        <w:t xml:space="preserve">(3) Bei der Berechnung der Obergrenzen nach den Absätzen 1 und 2 bleiben unberücksichtigt:</w:t>
      </w:r>
    </w:p>
    <w:p>
      <w:pPr>
        <w:ind w:left="420"/>
      </w:pPr>
      <w:r>
        <w:t xml:space="preserve">1. die Planstellen der Geschäftsführerin oder des Geschäftsführers und der stellvertretenden Geschäftsführerin oder des stellvertretenden Geschäftsführers,</w:t>
      </w:r>
    </w:p>
    <w:p>
      <w:pPr>
        <w:ind w:left="420"/>
      </w:pPr>
      <w:r>
        <w:t xml:space="preserve">2. im Falle des § 36 Absatz 4 Satz 1 des Vierten Buches Sozialgesetzbuch die Stellen der Mitglieder der Geschäftsführung und</w:t>
      </w:r>
    </w:p>
    <w:p>
      <w:pPr>
        <w:ind w:left="420"/>
      </w:pPr>
      <w:r>
        <w:t xml:space="preserve">3. die Planstellen der leitenden technischen Aufsichtspersonen.</w:t>
      </w:r>
    </w:p>
    <w:p>
      <w:r>
        <w:rPr>
          <w:color w:val="555555"/>
          <w:sz w:val="17"/>
        </w:rPr>
        <w:t xml:space="preserve">Zitiervorschlag: § 1 UVOGrV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https://recht.nulegal.eu/gesetze/UVOGrV/1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