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UVKapWertV — Abfindung nach § 76 Abs. 1 des Siebten Buches Sozialgesetzbuch</w:t>
      </w:r>
    </w:p>
    <w:p>
      <w:r>
        <w:rPr>
          <w:color w:val="555555"/>
          <w:sz w:val="18"/>
        </w:rPr>
        <w:t xml:space="preserve">Verordnung über die Berechnung des Kapitalwertes bei Abfindung von Leistungen aus der gesetzlichen Unfallversicherung</w:t>
      </w:r>
    </w:p>
    <w:p>
      <w:r>
        <w:rPr>
          <w:color w:val="555555"/>
          <w:sz w:val="18"/>
        </w:rPr>
        <w:t xml:space="preserve">Stand: 10.06.2019 (konsolidierte Textfassung, kein amtliches Inkrafttretensdatum)</w:t>
      </w:r>
    </w:p>
    <w:p>
      <w:r>
        <w:t xml:space="preserve">(1) Wird ein Verletzter, der Anspruch auf eine Rente auf unbestimmte Zeit nach § 62 Abs. 2 Satz 1 des Siebten Buches Sozialgesetzbuch wegen einer Minderung der Erwerbsfähigkeit durch Folgen des Arbeitsunfalls um weniger als 40 vom Hundert hat, innerhalb von 15 Jahren nach dem Unfall abgefunden, so richtet sich der Kapitalwert nach der Anzahl der zur Zeit des Unfalls vollendeten Lebensjahre des Verletzten und nach der seit dem Unfall vergangenen Zeit. Das Abfindungskapital ist die mit dem Kapitalwert aus der Tabelle der Anlage 1 vervielfältigte Jahresrente.</w:t>
      </w:r>
    </w:p>
    <w:p>
      <w:r>
        <w:t xml:space="preserve">(2) Wird der in Absatz 1 bezeichnete Verletzte nach Ablauf von 15 Jahren nach dem Unfall abgefunden, so richtet sich der Kapitalwert nach der Anzahl der zur Zeit der Abfindung vollendeten Lebensjahre. Das Abfindungskapital ist die mit dem Kapitalwert aus der Tabelle der Anlage 2 vervielfältigte Jahresrente.</w:t>
      </w:r>
    </w:p>
    <w:p>
      <w:r>
        <w:rPr>
          <w:color w:val="555555"/>
          <w:sz w:val="17"/>
        </w:rPr>
        <w:t xml:space="preserve">Zitiervorschlag: § 1 UVKapWertV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https://recht.nulegal.eu/gesetze/UVKapWertV/1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