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UVGDVO (Nordrhein-Westfalen) — Ordnungswidrigkeiten</w:t>
      </w:r>
    </w:p>
    <w:p>
      <w:r>
        <w:rPr>
          <w:color w:val="555555"/>
          <w:sz w:val="18"/>
        </w:rPr>
        <w:t xml:space="preserve">UVG-Durchführungsverordnung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 für die Verfolgung und Ahndung von Ordnungswidrigkeiten nach § 10 Absatz 1 Nummer 1 des Unterhaltsvorschussgesetzes ist das Landesamt für Finanzen im Hinblick auf Leistungen nach dem Unterhaltsvorschussgesetz im Sinne von § 1 Absatz 2. Im Übrigen sind für die Verfolgung und Ahndung von Ordnungswidrigkeiten nach § 10 Absatz 1 Nummer 1 des Unterhaltsvorschussgesetzes die Kreise und kreisfreien Städte sowie diejenigen kreisangehörigen Gemeinden zuständig, bei denen auf Grund von § 2 des Ersten Gesetzes zur Ausführung des Kinder- und Jugendhilfegesetzes eigene Jugendämter errichtet sind.</w:t>
      </w:r>
    </w:p>
    <w:p>
      <w:r>
        <w:t xml:space="preserve">(2) Zuständig für die Verfolgung und Ahndung von Ordnungswidrigkeiten nach § 10 Absatz 1 Nummer 2 des Unterhaltsvorschussgesetzes sind die Kreise und kreisfreien Städte sowie diejenigen kreisangehörigen Gemeinden, bei denen auf Grund von § 2 des Ersten Gesetzes zur Ausführung des Kinder- und Jugendhilfegesetzes eigene Jugendämter errichtet sind.</w:t>
      </w:r>
    </w:p>
    <w:p>
      <w:r>
        <w:rPr>
          <w:color w:val="555555"/>
          <w:sz w:val="17"/>
        </w:rPr>
        <w:t xml:space="preserve">Zitiervorschlag: § 2 UVGDVO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https://recht.nulegal.eu/gesetze/UVGDVO/2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