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UVBKostErstV — Säumniszuschlag</w:t>
      </w:r>
    </w:p>
    <w:p>
      <w:r>
        <w:rPr>
          <w:color w:val="555555"/>
          <w:sz w:val="18"/>
        </w:rPr>
        <w:t xml:space="preserve">Unfallversicherung-Bund-und-Bahn-Kostenerstattungsverordnung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Kostenforderungen der Unfallversicherung Bund und Bahn, die nicht bis zu dem in § 23 Absatz 3 Satz 1 des Vierten Buches Sozialgesetzbuch genannten Fälligkeitstermin beglichen worden sind, ist ein Säumniszuschlag zu zahlen. Der Säumniszuschlag beträgt für jeden angefangenen Monat der Säumnis 1 Prozent des rückständigen, auf volle 100 Euro abgerundeten Betrages.</w:t>
      </w:r>
    </w:p>
    <w:p>
      <w:r>
        <w:rPr>
          <w:color w:val="555555"/>
          <w:sz w:val="17"/>
        </w:rPr>
        <w:t xml:space="preserve">Zitiervorschlag: § 5 UVBKostErstV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https://recht.nulegal.eu/gesetze/UVBKostErstV/5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