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UVBKostErstV — Meldung der Beschäftigtenzahlen</w:t>
      </w:r>
    </w:p>
    <w:p>
      <w:r>
        <w:rPr>
          <w:color w:val="555555"/>
          <w:sz w:val="18"/>
        </w:rPr>
        <w:t xml:space="preserve">Unfallversicherung-Bund-und-Bahn-Kostenerstattungsverordnung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Mitgliedsunternehmen nach § 1 melden der Unfallversicherung Bund und Bahn innerhalb von sechs Wochen nach Ablauf des Kalenderjahres die Anzahl der durchschnittlich im abgelaufenen Kalenderjahr beschäftigten Versicherten sowie Beamtinnen und Beamten.</w:t>
      </w:r>
    </w:p>
    <w:p>
      <w:r>
        <w:t xml:space="preserve">(2) Mitarbeiterinnen und Mitarbeiter von Mitgliedsunternehmen nach § 1 Nummer 1 und 2, deren Beamtenverhältnis auf Grund einer Beurlaubung ruht, zählen zu den beschäftigten Versicherten.</w:t>
      </w:r>
    </w:p>
    <w:p>
      <w:r>
        <w:rPr>
          <w:color w:val="555555"/>
          <w:sz w:val="17"/>
        </w:rPr>
        <w:t xml:space="preserve">Zitiervorschlag: § 4 UVBKostErstV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https://recht.nulegal.eu/gesetze/UVBKostErstV/4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