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UVBKostErstV — Kostenerstattung für übertragene Aufgaben</w:t>
      </w:r>
    </w:p>
    <w:p>
      <w:r>
        <w:rPr>
          <w:color w:val="555555"/>
          <w:sz w:val="18"/>
        </w:rPr>
        <w:t xml:space="preserve">Unfallversicherung-Bund-und-Bahn-Kostenerstattungsverordnung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Mitgliedsunternehmen nach § 1 Nummer 1 und 2 erstatten der Unfallversicherung Bund und Bahn die Personal- und Sachkosten und sonstigen Ausgaben, die ihr durch die Wahrnehmung der Aufgaben der Prävention für Beamtinnen und Beamte entstehen (Kosten).</w:t>
      </w:r>
    </w:p>
    <w:p>
      <w:r>
        <w:rPr>
          <w:color w:val="555555"/>
          <w:sz w:val="17"/>
        </w:rPr>
        <w:t xml:space="preserve">Zitiervorschlag: § 2 UVBKostErstV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https://recht.nulegal.eu/gesetze/UVBKostErstV/2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