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UVBKostErstV — Geltungsbereich</w:t>
      </w:r>
    </w:p>
    <w:p>
      <w:r>
        <w:rPr>
          <w:color w:val="555555"/>
          <w:sz w:val="18"/>
        </w:rPr>
        <w:t xml:space="preserve">Unfallversicherung-Bund-und-Bahn-Kostenerstattungsverordnung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für folgende Mitgliedsunternehmen der Unfallversicherung Bund und Bahn im Sinne des § 125 Absatz 2 des Siebten Buches Sozialgesetzbuch:</w:t>
      </w:r>
    </w:p>
    <w:p>
      <w:pPr>
        <w:ind w:left="420"/>
      </w:pPr>
      <w:r>
        <w:t xml:space="preserve">1. das Bundeseisenbahnvermögen,</w:t>
      </w:r>
    </w:p>
    <w:p>
      <w:pPr>
        <w:ind w:left="420"/>
      </w:pPr>
      <w:r>
        <w:t xml:space="preserve">2. die Mitgliedsunternehmen, denen Beamtinnen und Beamte zugewiesen sind nach Maßgabe der §§ 12 und 23 des Deutsche Bahn Gründungsgesetzes vom 27. Dezember 1993 (BGBl. I S. 2378, 2386; 1994 I S. 2439), das zuletzt durch Artikel 515 der Verordnung vom 31. August 2015 (BGBl. I S. 1474) geändert worden ist, und</w:t>
      </w:r>
    </w:p>
    <w:p>
      <w:pPr>
        <w:ind w:left="420"/>
      </w:pPr>
      <w:r>
        <w:t xml:space="preserve">3. die Mitgliedsunternehmen, denen keine Beamtinnen und Beamten zugewiesen sind.</w:t>
      </w:r>
    </w:p>
    <w:p>
      <w:r>
        <w:rPr>
          <w:color w:val="555555"/>
          <w:sz w:val="17"/>
        </w:rPr>
        <w:t xml:space="preserve">Zitiervorschlag: § 1 UVBKostErstV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https://recht.nulegal.eu/gesetze/UVBKostErstV/1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