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UVBBErG — Sonstige personalrechtliche Übergangsregelungen</w:t>
      </w:r>
    </w:p>
    <w:p>
      <w:r>
        <w:rPr>
          <w:color w:val="555555"/>
          <w:sz w:val="18"/>
        </w:rPr>
        <w:t xml:space="preserve">Gesetz zur Errichtung der Unfallversicherung Bund und Bahn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bei der Unfallkasse des Bundes und der Eisenbahn-Unfallkasse bestehenden Dienstvereinbarungen gelten weiter, bis sie durch neue Dienstvereinbarungen ersetzt werden.</w:t>
      </w:r>
    </w:p>
    <w:p>
      <w:r>
        <w:t xml:space="preserve">(2) Die in einem Beschäftigungsverhältnis bei der Unfallkasse des Bundes, der Eisenbahn-Unfallkasse oder einer Vorläuferorganisation dieser Einrichtungen verbrachten Zeiten gelten bei der Anwendung beamtenrechtlicher sowie personalvertretungsrechtlicher Bestimmungen und tarifrechtlicher Regelungen als bei der Unfallversicherung Bund und Bahn verbrachte Zeiten.</w:t>
      </w:r>
    </w:p>
    <w:p>
      <w:r>
        <w:t xml:space="preserve">(3) Bei der Unfallversicherung Bund und Bahn wird im Zeitraum der regelmäßigen Personalratswahlen nach § 27 Absatz 1 des Bundespersonalvertretungsgesetzes im Jahr 2016 eine Personalvertretung gewählt. Die bisherigen Personalvertretungen der Unfallkasse des Bundes und der Eisenbahn-Unfallkasse nehmen die Aufgaben der Personalvertretung der Unfallversicherung Bund und Bahn wahr, bis sich die Personalvertretung konstituiert hat. Für die Jugend- und Auszubildendenvertretungen, die Schwerbehindertenvertretungen sowie die Gleichstellungsbeauftragten gelten die Sätze 1 und 2 entsprechend.</w:t>
      </w:r>
    </w:p>
    <w:p>
      <w:r>
        <w:t xml:space="preserve">(4) Soweit sich nach der Errichtung der Unfallversicherung Bund und Bahn eine Überschreitung der Obergrenzen für Beförderungsämter nach § 17a Absatz 1 der Bundeshaushaltsordnung ergibt, wird die Umwandlung der die Obergrenzen überschreitenden Planstellen für fünf Jahre ausgesetzt und danach auf jede dritte freiwerdende Planstelle beschränkt.</w:t>
      </w:r>
    </w:p>
    <w:p>
      <w:r>
        <w:rPr>
          <w:color w:val="555555"/>
          <w:sz w:val="17"/>
        </w:rPr>
        <w:t xml:space="preserve">Zitiervorschlag: § 8 UVBBErG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https://recht.nulegal.eu/gesetze/UVBBErG/8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