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UVBBErG — Kosten bei Errichtung</w:t>
      </w:r>
    </w:p>
    <w:p>
      <w:r>
        <w:rPr>
          <w:color w:val="555555"/>
          <w:sz w:val="18"/>
        </w:rPr>
        <w:t xml:space="preserve">Gesetz zur Errichtung der Unfallversicherung Bund und Bahn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Rechts- und Amtshandlungen, die aus Anlass der Errichtung der Unfallversicherung Bund und Bahn sowie der Eingliederung der Unfallkasse des Bundes und der Eisenbahn-Unfallkasse erforderlich sind, werden sonstige Abgaben und Gerichtskosten in Grundbuchsachen nicht erhoben.</w:t>
      </w:r>
    </w:p>
    <w:p>
      <w:r>
        <w:t xml:space="preserve">(2) Die Abgaben- und Gerichtskostenfreiheit nach Absatz 1 ist von der zuständigen Stelle ohne Nachprüfung anzuerkennen, wenn die Unfallversicherung Bund und Bahn bestätigt, dass die Maßnahme der Durchführung dieses Gesetzes dient.</w:t>
      </w:r>
    </w:p>
    <w:p>
      <w:r>
        <w:rPr>
          <w:color w:val="555555"/>
          <w:sz w:val="17"/>
        </w:rPr>
        <w:t xml:space="preserve">Zitiervorschlag: § 5 UVBBErG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https://recht.nulegal.eu/gesetze/UVBBErG/5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