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UVBBErG — Prävention für Beamte, Verordnungsermächtigung</w:t>
      </w:r>
    </w:p>
    <w:p>
      <w:r>
        <w:rPr>
          <w:color w:val="555555"/>
          <w:sz w:val="18"/>
        </w:rPr>
        <w:t xml:space="preserve">Gesetz zur Errichtung der Unfallversicherung Bund und Bahn</w:t>
      </w:r>
    </w:p>
    <w:p>
      <w:r>
        <w:rPr>
          <w:color w:val="555555"/>
          <w:sz w:val="18"/>
        </w:rPr>
        <w:t xml:space="preserve">Stand: 03.07.2020 (konsolidierte Textfassung, kein amtliches Inkrafttretensdatum)</w:t>
      </w:r>
    </w:p>
    <w:p>
      <w:r>
        <w:t xml:space="preserve">(1) Die Unfallversicherung Bund und Bahn führt die Prävention für die Beamten der Mitgliedsunternehmen mit Ausnahme des Erlasses von Verwaltungsvorschriften über die Sicherheit und den Gesundheitsschutz bei der Arbeit durch. Dies gilt auch für Beamte des Bundeseisenbahnvermögens, die nach § 12 Absatz 2 und 3 des Deutsche Bahn Gründungsgesetzes der Deutsche Bahn AG oder die den nach § 2 Absatz 1 und § 3 Absatz 3 des Deutsche Bahn Gründungsgesetzes ausgegliederten Gesellschaften zugewiesen sind. Die Aufsicht führt insoweit das Bundesministerium des Innern, für Bau und Heimat. Die Vorschriften über die Selbstverwaltung der Träger der Sozialversicherung finden keine Anwendung.</w:t>
      </w:r>
    </w:p>
    <w:p>
      <w:r>
        <w:t xml:space="preserve">(2) Im Zuständigkeitsbereich des § 125 Absatz 2 des Siebten Buches Sozialgesetzbuch führt die Unfallversicherung Bund und Bahn die Aufgabe gegen Kostenerstattung durch die Mitgliedsunternehmen durch. Das Bundesministerium des Innern, für Bau und Heimat regelt das Nähere, insbesondere den Umfang der Erstattung von Personal- und Sachkosten und sonstigen Ausgaben durch die Mitgliedsunternehmen, durch Rechtsverordnung, die nicht der Zustimmung des Bundesrates bedarf.</w:t>
      </w:r>
    </w:p>
    <w:p>
      <w:r>
        <w:rPr>
          <w:color w:val="555555"/>
          <w:sz w:val="17"/>
        </w:rPr>
        <w:t xml:space="preserve">Zitiervorschlag: § 4 UVBBErG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https://recht.nulegal.eu/gesetze/UVBBErG/4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