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UVBBErG — Sitz und Satzung</w:t>
      </w:r>
    </w:p>
    <w:p>
      <w:r>
        <w:rPr>
          <w:color w:val="555555"/>
          <w:sz w:val="18"/>
        </w:rPr>
        <w:t xml:space="preserve">Gesetz zur Errichtung der Unfallversicherung Bund und Bahn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Der Sitz der Unfallversicherung Bund und Bahn wird durch die Satzung bestimmt. Der Sitz der Künstlersozialkasse ist Wilhelmshaven.</w:t>
      </w:r>
    </w:p>
    <w:p>
      <w:r>
        <w:t xml:space="preserve">(2) Die Satzung der Unfallversicherung Bund und Bahn bedarf der Genehmigung des Bundesamtes für Soziale Sicherung.</w:t>
      </w:r>
    </w:p>
    <w:p>
      <w:r>
        <w:rPr>
          <w:color w:val="555555"/>
          <w:sz w:val="17"/>
        </w:rPr>
        <w:t xml:space="preserve">Zitiervorschlag: § 3 UVBBErG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https://recht.nulegal.eu/gesetze/UVBBErG/3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