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UVBBErG — Eingliederung der Unfallkasse des Bundes und der Eisenbahn-Unfallkasse</w:t>
      </w:r>
    </w:p>
    <w:p>
      <w:r>
        <w:rPr>
          <w:color w:val="555555"/>
          <w:sz w:val="18"/>
        </w:rPr>
        <w:t xml:space="preserve">Gesetz zur Errichtung der Unfallversicherung Bund und Bahn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Unfallkasse des Bundes und die Eisenbahn-Unfallkasse werden zum 1. Januar 2015 in die Unfallversicherung Bund und Bahn eingegliedert.</w:t>
      </w:r>
    </w:p>
    <w:p>
      <w:r>
        <w:t xml:space="preserve">(2) Das Vermögen sowie Rechte und Pflichten der Unfallkasse des Bundes und der Eisenbahn-Unfallkasse gehen als Ganzes auf die Unfallversicherung Bund und Bahn über.</w:t>
      </w:r>
    </w:p>
    <w:p>
      <w:r>
        <w:t xml:space="preserve">(3) Die Unfallkasse des Bundes und die Eisenbahn-Unfallkasse werden aufgelöst.</w:t>
      </w:r>
    </w:p>
    <w:p>
      <w:r>
        <w:rPr>
          <w:color w:val="555555"/>
          <w:sz w:val="17"/>
        </w:rPr>
        <w:t xml:space="preserve">Zitiervorschlag: § 2 UVBBErG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https://recht.nulegal.eu/gesetze/UVBBErG/2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