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UVBBErG — Vorstand</w:t>
      </w:r>
    </w:p>
    <w:p>
      <w:r>
        <w:rPr>
          <w:color w:val="555555"/>
          <w:sz w:val="18"/>
        </w:rPr>
        <w:t xml:space="preserve">Gesetz zur Errichtung der Unfallversicherung Bund und Bahn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am 31. Dezember 2014 amtierenden Mitglieder des Vorstandes der Unfallkasse des Bundes und die am 31. Dezember 2014 amtierenden Mitglieder des Vorstandes der Eisenbahn-Unfallkasse werden Mitglieder des Vorstandes der Unfallversicherung Bund und Bahn. Das Gleiche gilt für die am 31. Dezember 2014 amtierenden stellvertretenden Mitglieder der in Satz 1 genannten Vorstände.</w:t>
      </w:r>
    </w:p>
    <w:p>
      <w:r>
        <w:t xml:space="preserve">(2) Die ehemaligen Mitglieder des Vorstandes der Unfallkasse des Bundes und die ehemaligen Mitglieder des Vorstandes der Eisenbahn-Unfallkasse haben unabhängig von ihrer jeweiligen Anzahl insgesamt die gleiche Anzahl an Stimmen.</w:t>
      </w:r>
    </w:p>
    <w:p>
      <w:r>
        <w:rPr>
          <w:color w:val="555555"/>
          <w:sz w:val="17"/>
        </w:rPr>
        <w:t xml:space="preserve">Zitiervorschlag: § 11 UVBBErG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https://recht.nulegal.eu/gesetze/UVBBErG/11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