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UVBBErG — Errichtung, Zuständigkeit</w:t>
      </w:r>
    </w:p>
    <w:p>
      <w:r>
        <w:rPr>
          <w:color w:val="555555"/>
          <w:sz w:val="18"/>
        </w:rPr>
        <w:t xml:space="preserve">Gesetz zur Errichtung der Unfallversicherung Bund und Bahn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1. Januar 2015 wird als Unfallversicherungsträger der öffentlichen Hand die Unfallversicherung Bund und Bahn errichtet. Die Unfallversicherung Bund und Bahn ist für die in § 125 des Siebten Buches Sozialgesetzbuch genannten Unternehmen und Versicherten zuständig.</w:t>
      </w:r>
    </w:p>
    <w:p>
      <w:r>
        <w:rPr>
          <w:color w:val="555555"/>
          <w:sz w:val="17"/>
        </w:rPr>
        <w:t xml:space="preserve">Zitiervorschlag: § 1 UVBBErG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https://recht.nulegal.eu/gesetze/UVBBErG/1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UVBBErG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