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UVAV 2024 — Anwendungsbereich</w:t>
      </w:r>
    </w:p>
    <w:p>
      <w:r>
        <w:rPr>
          <w:color w:val="555555"/>
          <w:sz w:val="18"/>
        </w:rPr>
        <w:t xml:space="preserve">Unfallversicherungs-Anzeigeverordnung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Anzeige von Arbeitsunfällen und Berufskrankheiten, die nach den §§ 193 und 202 des Siebten Buches Sozialgesetzbuch zu erstatten ist, richtet sich nach den Bestimmungen dieser Verordnung.</w:t>
      </w:r>
    </w:p>
    <w:p>
      <w:r>
        <w:rPr>
          <w:color w:val="555555"/>
          <w:sz w:val="17"/>
        </w:rPr>
        <w:t xml:space="preserve">Zitiervorschlag: § 1 UVAV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https://recht.nulegal.eu/gesetze/UVAV%202024/1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