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UV-AltRückV</w:t>
      </w:r>
    </w:p>
    <w:p>
      <w:r>
        <w:rPr>
          <w:color w:val="555555"/>
          <w:sz w:val="18"/>
        </w:rPr>
        <w:t xml:space="preserve">Unfallversicherungs-Altersrückstellungsverordnung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172c Absatz 3 Satz 1 des Siebten Buches Sozialgesetzbuch – Gesetzliche Unfallversicherung –, der durch Artikel 1 des Gesetzes vom 30. Oktober 2008 (BGBl. I S. 2130) eingefügt worden ist, verordnet das Bundesministerium für Arbeit und Soziales im Einvernehmen mit dem Bundesministerium für Ernährung, Landwirtschaft und Verbraucherschutz:</w:t>
      </w:r>
    </w:p>
    <w:p>
      <w:r>
        <w:rPr>
          <w:color w:val="555555"/>
          <w:sz w:val="17"/>
        </w:rPr>
        <w:t xml:space="preserve">Zitiervorschlag: Eingangsformel UV-AltRückV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https://recht.nulegal.eu/gesetze/UV-AltR%C3%BCckV/eingangsformel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