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UV-AltRückV — Überprüfung</w:t>
      </w:r>
    </w:p>
    <w:p>
      <w:r>
        <w:rPr>
          <w:color w:val="555555"/>
          <w:sz w:val="18"/>
        </w:rPr>
        <w:t xml:space="preserve">Unfallversicherungs-Altersrückstellungsverordnung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Unfallversicherungsträger überprüfen regelmäßig, spätestens nach Ablauf von jeweils fünf Jahren, die Höhe der Rückstellungen nach § 1 und der jährlichen Zuführungen für die folgenden fünf Jahre.</w:t>
      </w:r>
    </w:p>
    <w:p>
      <w:r>
        <w:rPr>
          <w:color w:val="555555"/>
          <w:sz w:val="17"/>
        </w:rPr>
        <w:t xml:space="preserve">Zitiervorschlag: § 2 UV-AltRückV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https://recht.nulegal.eu/gesetze/UV-AltR%C3%BCckV/2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