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(XXXX) UStatG2005BerPflEntlV</w:t>
      </w:r>
    </w:p>
    <w:p>
      <w:r>
        <w:rPr>
          <w:color w:val="555555"/>
          <w:sz w:val="18"/>
        </w:rPr>
        <w:t xml:space="preserve">Verordnung zur Entlastung der nichtöffentlichen Betriebe, die Wasser gewinnen sowie Wasser oder Abwasser in Gewässer einleiten, von Berichtspflichten nach dem Umweltstatistikgesetz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die Erhebung nach § 8 des Umweltstatistikgesetzes werden nichtöffentliche Betriebe, die Wasser gewinnen, sowie nichtöffentliche Betriebe, die Wasser oder Abwasser in Gewässer einleiten, nur einbezogen, soweit die gewonnene oder eingeleitete Wasser- oder Abwassermenge jeweils mindestens 2 000 Kubikmeter pro Jahr beträgt.</w:t>
      </w:r>
    </w:p>
    <w:p>
      <w:r>
        <w:rPr>
          <w:color w:val="555555"/>
          <w:sz w:val="17"/>
        </w:rPr>
        <w:t xml:space="preserve">Zitiervorschlag: (XXXX) UStatG2005BerPflEntlV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https://recht.nulegal.eu/gesetze/UStatG2005BerPflEntlV/(xxxx)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(XXXX) UStatG2005BerPflEntlV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